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289" w:rsidRDefault="003A53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r>
        <w:rPr>
          <w:b/>
          <w:color w:val="000000"/>
          <w:sz w:val="24"/>
        </w:rPr>
        <w:t xml:space="preserve">Mackay </w:t>
      </w:r>
      <w:r w:rsidR="00A11289">
        <w:rPr>
          <w:b/>
          <w:color w:val="000000"/>
          <w:sz w:val="24"/>
        </w:rPr>
        <w:t>School District</w:t>
      </w:r>
      <w:r w:rsidR="007A7D45">
        <w:rPr>
          <w:b/>
          <w:color w:val="000000"/>
          <w:sz w:val="24"/>
        </w:rPr>
        <w:t xml:space="preserve"> No. </w:t>
      </w:r>
      <w:r>
        <w:rPr>
          <w:b/>
          <w:color w:val="000000"/>
          <w:sz w:val="24"/>
        </w:rPr>
        <w:t>182</w:t>
      </w: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rsidR="005B371D" w:rsidRDefault="005B371D" w:rsidP="005B371D">
      <w:pPr>
        <w:tabs>
          <w:tab w:val="right" w:pos="9360"/>
        </w:tabs>
        <w:spacing w:line="240" w:lineRule="atLeast"/>
        <w:rPr>
          <w:color w:val="000000"/>
          <w:sz w:val="24"/>
        </w:rPr>
      </w:pPr>
      <w:r>
        <w:rPr>
          <w:b/>
          <w:color w:val="000000"/>
          <w:sz w:val="24"/>
        </w:rPr>
        <w:t>COMMUNITY RELATIONS</w:t>
      </w:r>
      <w:r>
        <w:rPr>
          <w:b/>
          <w:color w:val="000000"/>
          <w:sz w:val="24"/>
        </w:rPr>
        <w:tab/>
        <w:t>4320</w:t>
      </w: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Disruption of School Operations</w:t>
      </w: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If any person disrupts or obstructs any school program, activity, or meeting, or threatens to do so, or commits, threatens to imminently commit or incites another to commit any act that will disturb or interfere with or obstruct any lawful task, function, process or procedure, of any student, official, employee or invitee of th</w:t>
      </w:r>
      <w:bookmarkStart w:id="0" w:name="_GoBack"/>
      <w:bookmarkEnd w:id="0"/>
      <w:r>
        <w:rPr>
          <w:color w:val="000000"/>
          <w:sz w:val="24"/>
        </w:rPr>
        <w:t>e District, the staff member in charge shall immediately notify the local law enforcement authorities of the incident.</w:t>
      </w: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The staff member in charge shall make a written report detailing the incident not later than twenty-four (24) hours from when the incident occurred.  A copy of the report shall be given to the staff member’s immediate supervisor.</w:t>
      </w: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52A32" w:rsidRDefault="00A11289" w:rsidP="005B371D">
      <w:pPr>
        <w:tabs>
          <w:tab w:val="left" w:pos="1800"/>
          <w:tab w:val="left" w:pos="3600"/>
        </w:tabs>
        <w:spacing w:line="240" w:lineRule="atLeast"/>
        <w:ind w:left="3600" w:hanging="3600"/>
        <w:rPr>
          <w:color w:val="000000"/>
          <w:sz w:val="24"/>
        </w:rPr>
      </w:pPr>
      <w:r>
        <w:rPr>
          <w:color w:val="000000"/>
          <w:sz w:val="24"/>
        </w:rPr>
        <w:t>Cross Reference:</w:t>
      </w:r>
      <w:r>
        <w:rPr>
          <w:color w:val="000000"/>
          <w:sz w:val="24"/>
        </w:rPr>
        <w:tab/>
      </w:r>
      <w:r w:rsidR="00A52A32">
        <w:rPr>
          <w:color w:val="000000"/>
          <w:sz w:val="24"/>
        </w:rPr>
        <w:t>3545</w:t>
      </w:r>
      <w:r w:rsidR="00A52A32">
        <w:rPr>
          <w:color w:val="000000"/>
          <w:sz w:val="24"/>
        </w:rPr>
        <w:tab/>
        <w:t>Student Interviews, Interrogations or Arrests</w:t>
      </w:r>
    </w:p>
    <w:p w:rsidR="00A11289" w:rsidRDefault="00A52A32" w:rsidP="005B371D">
      <w:pPr>
        <w:tabs>
          <w:tab w:val="left" w:pos="1800"/>
          <w:tab w:val="left" w:pos="3600"/>
        </w:tabs>
        <w:spacing w:line="240" w:lineRule="atLeast"/>
        <w:ind w:left="3600" w:hanging="3600"/>
        <w:rPr>
          <w:color w:val="000000"/>
          <w:sz w:val="24"/>
        </w:rPr>
      </w:pPr>
      <w:r>
        <w:rPr>
          <w:color w:val="000000"/>
          <w:sz w:val="24"/>
        </w:rPr>
        <w:tab/>
      </w:r>
      <w:r w:rsidR="00A11289">
        <w:rPr>
          <w:color w:val="000000"/>
          <w:sz w:val="24"/>
        </w:rPr>
        <w:t>4</w:t>
      </w:r>
      <w:r w:rsidR="005B371D">
        <w:rPr>
          <w:color w:val="000000"/>
          <w:sz w:val="24"/>
        </w:rPr>
        <w:t>140</w:t>
      </w:r>
      <w:r w:rsidR="00A11289">
        <w:rPr>
          <w:color w:val="000000"/>
          <w:sz w:val="24"/>
        </w:rPr>
        <w:tab/>
        <w:t>Visitors to the Schools</w:t>
      </w:r>
    </w:p>
    <w:p w:rsidR="00A52A32" w:rsidRDefault="00A52A32" w:rsidP="005B371D">
      <w:pPr>
        <w:tabs>
          <w:tab w:val="left" w:pos="1800"/>
          <w:tab w:val="left" w:pos="3600"/>
        </w:tabs>
        <w:spacing w:line="240" w:lineRule="atLeast"/>
        <w:ind w:left="3600" w:hanging="3600"/>
        <w:rPr>
          <w:color w:val="000000"/>
          <w:sz w:val="24"/>
        </w:rPr>
      </w:pPr>
      <w:r>
        <w:rPr>
          <w:color w:val="000000"/>
          <w:sz w:val="24"/>
        </w:rPr>
        <w:tab/>
        <w:t>4400</w:t>
      </w:r>
      <w:r>
        <w:rPr>
          <w:color w:val="000000"/>
          <w:sz w:val="24"/>
        </w:rPr>
        <w:tab/>
        <w:t>Relations with the Law Enforcement and CPA</w:t>
      </w: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11289" w:rsidRDefault="00A11289" w:rsidP="005B371D">
      <w:pPr>
        <w:tabs>
          <w:tab w:val="left" w:pos="1800"/>
          <w:tab w:val="left" w:pos="3600"/>
        </w:tabs>
        <w:spacing w:line="240" w:lineRule="atLeast"/>
        <w:ind w:left="3600" w:hanging="3600"/>
        <w:rPr>
          <w:color w:val="000000"/>
          <w:sz w:val="24"/>
        </w:rPr>
      </w:pPr>
      <w:r>
        <w:rPr>
          <w:color w:val="000000"/>
          <w:sz w:val="24"/>
        </w:rPr>
        <w:t>Legal Reference:</w:t>
      </w:r>
      <w:r>
        <w:rPr>
          <w:color w:val="000000"/>
          <w:sz w:val="24"/>
        </w:rPr>
        <w:tab/>
        <w:t>I.C. § 33-512</w:t>
      </w:r>
      <w:r>
        <w:rPr>
          <w:color w:val="000000"/>
          <w:sz w:val="24"/>
        </w:rPr>
        <w:tab/>
        <w:t>Governance of schools</w:t>
      </w:r>
    </w:p>
    <w:p w:rsidR="00A11289" w:rsidRDefault="00A11289" w:rsidP="005B371D">
      <w:pPr>
        <w:tabs>
          <w:tab w:val="left" w:pos="1800"/>
          <w:tab w:val="left" w:pos="3600"/>
        </w:tabs>
        <w:spacing w:line="240" w:lineRule="atLeast"/>
        <w:ind w:left="3600" w:hanging="3600"/>
        <w:rPr>
          <w:color w:val="000000"/>
          <w:sz w:val="24"/>
        </w:rPr>
      </w:pPr>
      <w:r>
        <w:rPr>
          <w:color w:val="000000"/>
          <w:sz w:val="24"/>
        </w:rPr>
        <w:tab/>
        <w:t>I.C. § 33-205</w:t>
      </w:r>
      <w:r>
        <w:rPr>
          <w:color w:val="000000"/>
          <w:sz w:val="24"/>
        </w:rPr>
        <w:tab/>
        <w:t>Denial of school attendance</w:t>
      </w:r>
    </w:p>
    <w:p w:rsidR="00A11289" w:rsidRDefault="005B371D" w:rsidP="005B371D">
      <w:pPr>
        <w:tabs>
          <w:tab w:val="left" w:pos="1800"/>
          <w:tab w:val="left" w:pos="3600"/>
        </w:tabs>
        <w:spacing w:line="240" w:lineRule="atLeast"/>
        <w:ind w:left="3600" w:hanging="3600"/>
        <w:rPr>
          <w:color w:val="000000"/>
          <w:sz w:val="24"/>
        </w:rPr>
      </w:pPr>
      <w:r>
        <w:rPr>
          <w:color w:val="000000"/>
          <w:sz w:val="24"/>
        </w:rPr>
        <w:tab/>
        <w:t>I</w:t>
      </w:r>
      <w:r w:rsidR="00A11289">
        <w:rPr>
          <w:color w:val="000000"/>
          <w:sz w:val="24"/>
        </w:rPr>
        <w:t>.C. § 33-1222</w:t>
      </w:r>
      <w:r w:rsidR="00A11289">
        <w:rPr>
          <w:color w:val="000000"/>
          <w:sz w:val="24"/>
        </w:rPr>
        <w:tab/>
        <w:t>Freedom from abuse</w:t>
      </w:r>
    </w:p>
    <w:p w:rsidR="00A11289" w:rsidRDefault="005B371D" w:rsidP="005B371D">
      <w:pPr>
        <w:tabs>
          <w:tab w:val="left" w:pos="1800"/>
          <w:tab w:val="left" w:pos="3600"/>
        </w:tabs>
        <w:spacing w:line="240" w:lineRule="atLeast"/>
        <w:ind w:left="3600" w:hanging="3600"/>
        <w:rPr>
          <w:color w:val="000000"/>
          <w:sz w:val="24"/>
        </w:rPr>
      </w:pPr>
      <w:r>
        <w:rPr>
          <w:color w:val="000000"/>
          <w:sz w:val="24"/>
        </w:rPr>
        <w:tab/>
        <w:t>I</w:t>
      </w:r>
      <w:r w:rsidR="00A11289">
        <w:rPr>
          <w:color w:val="000000"/>
          <w:sz w:val="24"/>
        </w:rPr>
        <w:t>.C. § 18-916</w:t>
      </w:r>
      <w:r w:rsidR="00A11289">
        <w:rPr>
          <w:color w:val="000000"/>
          <w:sz w:val="24"/>
        </w:rPr>
        <w:tab/>
        <w:t>Abuse of school teachers</w:t>
      </w:r>
    </w:p>
    <w:p w:rsidR="00A11289" w:rsidRDefault="00A11289" w:rsidP="005B371D">
      <w:pPr>
        <w:tabs>
          <w:tab w:val="left" w:pos="1800"/>
          <w:tab w:val="left" w:pos="3600"/>
        </w:tabs>
        <w:spacing w:line="240" w:lineRule="atLeast"/>
        <w:ind w:left="3600" w:hanging="3600"/>
        <w:rPr>
          <w:color w:val="000000"/>
          <w:sz w:val="24"/>
        </w:rPr>
      </w:pPr>
      <w:r>
        <w:rPr>
          <w:color w:val="000000"/>
          <w:sz w:val="24"/>
        </w:rPr>
        <w:tab/>
        <w:t>I.C. § 18-6409</w:t>
      </w:r>
      <w:r>
        <w:rPr>
          <w:color w:val="000000"/>
          <w:sz w:val="24"/>
        </w:rPr>
        <w:tab/>
        <w:t>Disturbing the peace</w:t>
      </w: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hanging="4320"/>
        <w:rPr>
          <w:color w:val="000000"/>
          <w:sz w:val="24"/>
        </w:rPr>
      </w:pP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Policy History:</w:t>
      </w: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Adopted on:</w:t>
      </w:r>
      <w:r w:rsidR="004E7833">
        <w:rPr>
          <w:color w:val="000000"/>
          <w:sz w:val="24"/>
        </w:rPr>
        <w:t xml:space="preserve"> November 11, 2013</w:t>
      </w:r>
    </w:p>
    <w:p w:rsidR="00A11289" w:rsidRDefault="00A1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Revised on:</w:t>
      </w:r>
    </w:p>
    <w:p w:rsidR="00A11289" w:rsidRDefault="00A11289">
      <w:pPr>
        <w:rPr>
          <w:color w:val="000000"/>
          <w:sz w:val="24"/>
        </w:rPr>
      </w:pPr>
    </w:p>
    <w:sectPr w:rsidR="00A11289" w:rsidSect="005B371D">
      <w:footerReference w:type="default" r:id="rId6"/>
      <w:endnotePr>
        <w:numFmt w:val="decimal"/>
      </w:endnotePr>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FEB" w:rsidRDefault="004D1FEB" w:rsidP="00DF3724">
      <w:r>
        <w:separator/>
      </w:r>
    </w:p>
  </w:endnote>
  <w:endnote w:type="continuationSeparator" w:id="0">
    <w:p w:rsidR="004D1FEB" w:rsidRDefault="004D1FEB" w:rsidP="00DF3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71D" w:rsidRDefault="005B371D">
    <w:pPr>
      <w:pStyle w:val="Footer"/>
    </w:pPr>
    <w:r>
      <w:tab/>
      <w:t>4320-</w:t>
    </w:r>
    <w:r w:rsidR="00093A50">
      <w:rPr>
        <w:rStyle w:val="PageNumber"/>
      </w:rPr>
      <w:fldChar w:fldCharType="begin"/>
    </w:r>
    <w:r>
      <w:rPr>
        <w:rStyle w:val="PageNumber"/>
      </w:rPr>
      <w:instrText xml:space="preserve"> PAGE </w:instrText>
    </w:r>
    <w:r w:rsidR="00093A50">
      <w:rPr>
        <w:rStyle w:val="PageNumber"/>
      </w:rPr>
      <w:fldChar w:fldCharType="separate"/>
    </w:r>
    <w:r w:rsidR="004E7833">
      <w:rPr>
        <w:rStyle w:val="PageNumber"/>
        <w:noProof/>
      </w:rPr>
      <w:t>1</w:t>
    </w:r>
    <w:r w:rsidR="00093A5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FEB" w:rsidRDefault="004D1FEB" w:rsidP="00DF3724">
      <w:r>
        <w:separator/>
      </w:r>
    </w:p>
  </w:footnote>
  <w:footnote w:type="continuationSeparator" w:id="0">
    <w:p w:rsidR="004D1FEB" w:rsidRDefault="004D1FEB" w:rsidP="00DF37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5B371D"/>
    <w:rsid w:val="00093A50"/>
    <w:rsid w:val="002711FB"/>
    <w:rsid w:val="003A531C"/>
    <w:rsid w:val="004C7B20"/>
    <w:rsid w:val="004D1FEB"/>
    <w:rsid w:val="004E7833"/>
    <w:rsid w:val="005B371D"/>
    <w:rsid w:val="007353E2"/>
    <w:rsid w:val="007A7D45"/>
    <w:rsid w:val="009D0A4C"/>
    <w:rsid w:val="00A11289"/>
    <w:rsid w:val="00A52A32"/>
    <w:rsid w:val="00AB4ABB"/>
    <w:rsid w:val="00DF3724"/>
    <w:rsid w:val="00E15E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A4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D0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rsid w:val="009D0A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rsid w:val="009D0A4C"/>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rsid w:val="009D0A4C"/>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rsid w:val="009D0A4C"/>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rsid w:val="009D0A4C"/>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sid w:val="009D0A4C"/>
    <w:rPr>
      <w:rFonts w:ascii="Courier" w:hAnsi="Courier"/>
      <w:b/>
      <w:noProof w:val="0"/>
      <w:color w:val="000000"/>
      <w:sz w:val="20"/>
      <w:u w:val="single"/>
      <w:lang w:val="en-US"/>
    </w:rPr>
  </w:style>
  <w:style w:type="paragraph" w:customStyle="1" w:styleId="6">
    <w:name w:val="6"/>
    <w:rsid w:val="009D0A4C"/>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rsid w:val="009D0A4C"/>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rsid w:val="009D0A4C"/>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rsid w:val="009D0A4C"/>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rsid w:val="009D0A4C"/>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rsid w:val="009D0A4C"/>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rsid w:val="009D0A4C"/>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rsid w:val="009D0A4C"/>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rsid w:val="009D0A4C"/>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rsid w:val="009D0A4C"/>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rsid w:val="009D0A4C"/>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rsid w:val="009D0A4C"/>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rsid w:val="009D0A4C"/>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rsid w:val="009D0A4C"/>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rsid w:val="009D0A4C"/>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rsid w:val="009D0A4C"/>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rsid w:val="009D0A4C"/>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rsid w:val="009D0A4C"/>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rsid w:val="009D0A4C"/>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rsid w:val="009D0A4C"/>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sid w:val="009D0A4C"/>
    <w:rPr>
      <w:rFonts w:ascii="Courier" w:hAnsi="Courier"/>
      <w:noProof w:val="0"/>
      <w:color w:val="000000"/>
      <w:sz w:val="20"/>
      <w:lang w:val="en-US"/>
    </w:rPr>
  </w:style>
  <w:style w:type="character" w:customStyle="1" w:styleId="TechInit">
    <w:name w:val="Tech Init"/>
    <w:rsid w:val="009D0A4C"/>
    <w:rPr>
      <w:rFonts w:ascii="Courier" w:hAnsi="Courier"/>
      <w:noProof w:val="0"/>
      <w:color w:val="000000"/>
      <w:sz w:val="20"/>
      <w:lang w:val="en-US"/>
    </w:rPr>
  </w:style>
  <w:style w:type="character" w:customStyle="1" w:styleId="Pleading">
    <w:name w:val="Pleading"/>
    <w:rsid w:val="009D0A4C"/>
    <w:rPr>
      <w:rFonts w:ascii="Courier" w:hAnsi="Courier"/>
      <w:noProof w:val="0"/>
      <w:color w:val="000000"/>
      <w:sz w:val="20"/>
      <w:lang w:val="en-US"/>
    </w:rPr>
  </w:style>
  <w:style w:type="paragraph" w:styleId="Header">
    <w:name w:val="header"/>
    <w:basedOn w:val="Normal"/>
    <w:rsid w:val="005B371D"/>
    <w:pPr>
      <w:tabs>
        <w:tab w:val="center" w:pos="4320"/>
        <w:tab w:val="right" w:pos="8640"/>
      </w:tabs>
    </w:pPr>
  </w:style>
  <w:style w:type="paragraph" w:styleId="Footer">
    <w:name w:val="footer"/>
    <w:basedOn w:val="Normal"/>
    <w:link w:val="FooterChar"/>
    <w:rsid w:val="005B371D"/>
    <w:pPr>
      <w:tabs>
        <w:tab w:val="center" w:pos="4320"/>
        <w:tab w:val="right" w:pos="8640"/>
      </w:tabs>
    </w:pPr>
  </w:style>
  <w:style w:type="character" w:styleId="PageNumber">
    <w:name w:val="page number"/>
    <w:basedOn w:val="DefaultParagraphFont"/>
    <w:rsid w:val="005B371D"/>
  </w:style>
  <w:style w:type="character" w:customStyle="1" w:styleId="FooterChar">
    <w:name w:val="Footer Char"/>
    <w:basedOn w:val="DefaultParagraphFont"/>
    <w:link w:val="Footer"/>
    <w:rsid w:val="00A52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styleId="Header">
    <w:name w:val="header"/>
    <w:basedOn w:val="Normal"/>
    <w:rsid w:val="005B371D"/>
    <w:pPr>
      <w:tabs>
        <w:tab w:val="center" w:pos="4320"/>
        <w:tab w:val="right" w:pos="8640"/>
      </w:tabs>
    </w:pPr>
  </w:style>
  <w:style w:type="paragraph" w:styleId="Footer">
    <w:name w:val="footer"/>
    <w:basedOn w:val="Normal"/>
    <w:link w:val="FooterChar"/>
    <w:rsid w:val="005B371D"/>
    <w:pPr>
      <w:tabs>
        <w:tab w:val="center" w:pos="4320"/>
        <w:tab w:val="right" w:pos="8640"/>
      </w:tabs>
    </w:pPr>
  </w:style>
  <w:style w:type="character" w:styleId="PageNumber">
    <w:name w:val="page number"/>
    <w:basedOn w:val="DefaultParagraphFont"/>
    <w:rsid w:val="005B371D"/>
  </w:style>
  <w:style w:type="character" w:customStyle="1" w:styleId="FooterChar">
    <w:name w:val="Footer Char"/>
    <w:basedOn w:val="DefaultParagraphFont"/>
    <w:link w:val="Footer"/>
    <w:rsid w:val="00A52A32"/>
  </w:style>
</w:styles>
</file>

<file path=word/webSettings.xml><?xml version="1.0" encoding="utf-8"?>
<w:webSettings xmlns:r="http://schemas.openxmlformats.org/officeDocument/2006/relationships" xmlns:w="http://schemas.openxmlformats.org/wordprocessingml/2006/main">
  <w:divs>
    <w:div w:id="72452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AJH</dc:creator>
  <cp:lastModifiedBy>terekrac</cp:lastModifiedBy>
  <cp:revision>2</cp:revision>
  <cp:lastPrinted>2016-11-30T14:38:00Z</cp:lastPrinted>
  <dcterms:created xsi:type="dcterms:W3CDTF">2016-11-30T14:38:00Z</dcterms:created>
  <dcterms:modified xsi:type="dcterms:W3CDTF">2016-11-30T14:38:00Z</dcterms:modified>
</cp:coreProperties>
</file>