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15" w:rsidRPr="00CB1C15" w:rsidRDefault="00CB1C15" w:rsidP="00CB1C15">
      <w:pPr>
        <w:pStyle w:val="Default"/>
        <w:pageBreakBefore/>
        <w:rPr>
          <w:color w:val="auto"/>
        </w:rPr>
      </w:pPr>
      <w:r w:rsidRPr="00CB1C15">
        <w:rPr>
          <w:b/>
          <w:bCs/>
          <w:color w:val="auto"/>
        </w:rPr>
        <w:t xml:space="preserve">Mackay School District No. 182 </w:t>
      </w:r>
    </w:p>
    <w:p w:rsidR="00CB1C15" w:rsidRPr="00CB1C15" w:rsidRDefault="00CB1C15" w:rsidP="00CB1C15">
      <w:pPr>
        <w:pStyle w:val="Default"/>
        <w:rPr>
          <w:color w:val="auto"/>
        </w:rPr>
      </w:pPr>
      <w:r w:rsidRPr="00CB1C15">
        <w:rPr>
          <w:color w:val="auto"/>
        </w:rPr>
        <w:t xml:space="preserve"> </w:t>
      </w:r>
    </w:p>
    <w:p w:rsidR="00CB1C15" w:rsidRPr="00CB1C15" w:rsidRDefault="00CB1C15" w:rsidP="00CB1C15">
      <w:pPr>
        <w:pStyle w:val="Default"/>
        <w:rPr>
          <w:color w:val="auto"/>
        </w:rPr>
      </w:pPr>
      <w:r w:rsidRPr="00CB1C15">
        <w:rPr>
          <w:b/>
          <w:bCs/>
          <w:color w:val="auto"/>
        </w:rPr>
        <w:t xml:space="preserve">INSTRUCTION </w:t>
      </w:r>
      <w:r w:rsidRPr="00CB1C15">
        <w:rPr>
          <w:b/>
          <w:bCs/>
          <w:color w:val="auto"/>
        </w:rPr>
        <w:tab/>
      </w:r>
      <w:r w:rsidRPr="00CB1C15">
        <w:rPr>
          <w:b/>
          <w:bCs/>
          <w:color w:val="auto"/>
        </w:rPr>
        <w:tab/>
      </w:r>
      <w:r w:rsidRPr="00CB1C15">
        <w:rPr>
          <w:b/>
          <w:bCs/>
          <w:color w:val="auto"/>
        </w:rPr>
        <w:tab/>
      </w:r>
      <w:r w:rsidRPr="00CB1C15">
        <w:rPr>
          <w:b/>
          <w:bCs/>
          <w:color w:val="auto"/>
        </w:rPr>
        <w:tab/>
      </w:r>
      <w:r w:rsidRPr="00CB1C15">
        <w:rPr>
          <w:b/>
          <w:bCs/>
          <w:color w:val="auto"/>
        </w:rPr>
        <w:tab/>
      </w:r>
      <w:r w:rsidRPr="00CB1C15">
        <w:rPr>
          <w:b/>
          <w:bCs/>
          <w:color w:val="auto"/>
        </w:rPr>
        <w:tab/>
      </w:r>
      <w:r w:rsidRPr="00CB1C15">
        <w:rPr>
          <w:b/>
          <w:bCs/>
          <w:color w:val="auto"/>
        </w:rPr>
        <w:tab/>
      </w:r>
      <w:r w:rsidRPr="00CB1C15">
        <w:rPr>
          <w:b/>
          <w:bCs/>
          <w:color w:val="auto"/>
        </w:rPr>
        <w:tab/>
      </w:r>
      <w:r w:rsidRPr="00CB1C15">
        <w:rPr>
          <w:b/>
          <w:bCs/>
          <w:color w:val="auto"/>
        </w:rPr>
        <w:tab/>
      </w:r>
      <w:r w:rsidRPr="00CB1C15">
        <w:rPr>
          <w:b/>
          <w:bCs/>
          <w:color w:val="auto"/>
        </w:rPr>
        <w:tab/>
        <w:t>2320</w:t>
      </w:r>
    </w:p>
    <w:p w:rsidR="00CB1C15" w:rsidRPr="00CB1C15" w:rsidRDefault="00CB1C15" w:rsidP="00CB1C15">
      <w:pPr>
        <w:pStyle w:val="Default"/>
        <w:rPr>
          <w:color w:val="auto"/>
        </w:rPr>
      </w:pPr>
      <w:r w:rsidRPr="00CB1C15">
        <w:rPr>
          <w:color w:val="auto"/>
        </w:rPr>
        <w:t xml:space="preserve"> </w:t>
      </w:r>
    </w:p>
    <w:p w:rsidR="00CB1C15" w:rsidRPr="00CB1C15" w:rsidRDefault="00CB1C15" w:rsidP="00CB1C15">
      <w:pPr>
        <w:pStyle w:val="Default"/>
        <w:rPr>
          <w:color w:val="auto"/>
        </w:rPr>
      </w:pPr>
      <w:r w:rsidRPr="00CB1C15">
        <w:rPr>
          <w:color w:val="auto"/>
          <w:u w:val="single"/>
        </w:rPr>
        <w:t xml:space="preserve">Health Enhancement Education </w:t>
      </w:r>
    </w:p>
    <w:p w:rsidR="00CB1C15" w:rsidRPr="00CB1C15" w:rsidRDefault="00CB1C15" w:rsidP="00CB1C15">
      <w:pPr>
        <w:pStyle w:val="Default"/>
        <w:rPr>
          <w:color w:val="auto"/>
        </w:rPr>
      </w:pPr>
      <w:r w:rsidRPr="00CB1C15">
        <w:rPr>
          <w:color w:val="auto"/>
        </w:rPr>
        <w:t xml:space="preserve"> </w:t>
      </w:r>
    </w:p>
    <w:p w:rsidR="00CB1C15" w:rsidRPr="0071288C" w:rsidRDefault="00CB1C15" w:rsidP="00CB1C15">
      <w:pPr>
        <w:pStyle w:val="Default"/>
        <w:rPr>
          <w:color w:val="auto"/>
        </w:rPr>
      </w:pPr>
      <w:r w:rsidRPr="00CB1C15">
        <w:rPr>
          <w:color w:val="auto"/>
        </w:rPr>
        <w:t xml:space="preserve">Health, family life, and sex education, including information about parts of the body, reproduction, and related topics, shall be included in the instructional program as appropriate to the grade level and course of study.  The instructional approach shall be developed after </w:t>
      </w:r>
      <w:r w:rsidRPr="0071288C">
        <w:rPr>
          <w:color w:val="auto"/>
        </w:rPr>
        <w:t xml:space="preserve">consultation with parents and other community representatives.  Parents </w:t>
      </w:r>
      <w:r w:rsidR="003D4091" w:rsidRPr="0071288C">
        <w:rPr>
          <w:color w:val="auto"/>
        </w:rPr>
        <w:t xml:space="preserve">shall be given the opportunity </w:t>
      </w:r>
      <w:r w:rsidRPr="0071288C">
        <w:rPr>
          <w:color w:val="auto"/>
        </w:rPr>
        <w:t xml:space="preserve">to review the materials to be used and may request that their child be excluded from sex education class sessions without prejudice. </w:t>
      </w:r>
      <w:r w:rsidR="003D4091" w:rsidRPr="0071288C">
        <w:rPr>
          <w:color w:val="auto"/>
        </w:rPr>
        <w:t>Any parent/legal guardian may have their child excused from any planned sex education instruction upon filing a written request with the Superintendent or the Superintendent’s designee. The Superintendent or designee shall make a form available for such requests. Alternative educational activities shall be provided for those excused.</w:t>
      </w:r>
    </w:p>
    <w:p w:rsidR="003D4091" w:rsidRPr="0071288C" w:rsidRDefault="003D4091" w:rsidP="00CB1C15">
      <w:pPr>
        <w:pStyle w:val="Default"/>
        <w:rPr>
          <w:color w:val="auto"/>
        </w:rPr>
      </w:pPr>
    </w:p>
    <w:p w:rsidR="003D4091" w:rsidRPr="0071288C" w:rsidRDefault="003D4091" w:rsidP="00CB1C15">
      <w:pPr>
        <w:pStyle w:val="Default"/>
        <w:rPr>
          <w:color w:val="auto"/>
        </w:rPr>
      </w:pPr>
      <w:r w:rsidRPr="0071288C">
        <w:rPr>
          <w:color w:val="auto"/>
        </w:rPr>
        <w:t>Sex Education</w:t>
      </w:r>
    </w:p>
    <w:p w:rsidR="003D4091" w:rsidRPr="003D4091" w:rsidRDefault="003D4091" w:rsidP="00CB1C15">
      <w:pPr>
        <w:pStyle w:val="Default"/>
        <w:rPr>
          <w:color w:val="auto"/>
          <w:highlight w:val="lightGray"/>
        </w:rPr>
      </w:pPr>
    </w:p>
    <w:p w:rsidR="003D4091" w:rsidRPr="0071288C" w:rsidRDefault="003D4091" w:rsidP="00CB1C15">
      <w:pPr>
        <w:pStyle w:val="Default"/>
        <w:rPr>
          <w:color w:val="auto"/>
        </w:rPr>
      </w:pPr>
      <w:r w:rsidRPr="0071288C">
        <w:rPr>
          <w:color w:val="auto"/>
        </w:rPr>
        <w:t>The Board directs that sex education instruction shall include instruction on abstinence. However, it is recognized that this alone may not prevent pregnancies and sexually transmitted infections (STIs). Therefore, the Board allows for instruction in sex education including STIs, birth control, adoption, and general human sexuality. In all cases the known facts will be taught, not the opinions or moral judgment of the instructor. This does not preclude giving impartial viewpoints on both sides of issues such as abortion or on the use of birth control methods.</w:t>
      </w:r>
    </w:p>
    <w:p w:rsidR="003D4091" w:rsidRPr="0071288C" w:rsidRDefault="003D4091" w:rsidP="00CB1C15">
      <w:pPr>
        <w:pStyle w:val="Default"/>
        <w:rPr>
          <w:color w:val="auto"/>
        </w:rPr>
      </w:pPr>
    </w:p>
    <w:p w:rsidR="003D4091" w:rsidRPr="0071288C" w:rsidRDefault="003D4091" w:rsidP="00CB1C15">
      <w:pPr>
        <w:pStyle w:val="Default"/>
        <w:rPr>
          <w:color w:val="auto"/>
        </w:rPr>
      </w:pPr>
      <w:r w:rsidRPr="0071288C">
        <w:rPr>
          <w:color w:val="auto"/>
        </w:rPr>
        <w:t>Any sex education instruction shall include instruction on:</w:t>
      </w:r>
    </w:p>
    <w:p w:rsidR="003D4091" w:rsidRPr="0071288C" w:rsidRDefault="003D4091" w:rsidP="00CB1C15">
      <w:pPr>
        <w:pStyle w:val="Default"/>
        <w:rPr>
          <w:color w:val="auto"/>
        </w:rPr>
      </w:pPr>
    </w:p>
    <w:p w:rsidR="003D4091" w:rsidRPr="0071288C" w:rsidRDefault="003D4091" w:rsidP="003D4091">
      <w:pPr>
        <w:pStyle w:val="Default"/>
        <w:numPr>
          <w:ilvl w:val="0"/>
          <w:numId w:val="1"/>
        </w:numPr>
        <w:rPr>
          <w:color w:val="auto"/>
        </w:rPr>
      </w:pPr>
      <w:r w:rsidRPr="0071288C">
        <w:rPr>
          <w:color w:val="auto"/>
        </w:rPr>
        <w:t>Available adoption resources and current adoption practices in the United States as a means of providing for the well-being of a child;</w:t>
      </w:r>
    </w:p>
    <w:p w:rsidR="003D4091" w:rsidRPr="0071288C" w:rsidRDefault="003D4091" w:rsidP="003D4091">
      <w:pPr>
        <w:pStyle w:val="Default"/>
        <w:numPr>
          <w:ilvl w:val="0"/>
          <w:numId w:val="1"/>
        </w:numPr>
        <w:rPr>
          <w:color w:val="auto"/>
        </w:rPr>
      </w:pPr>
      <w:r w:rsidRPr="0071288C">
        <w:rPr>
          <w:color w:val="auto"/>
        </w:rPr>
        <w:t>The Idaho Safe Haven Act, I.C. 39-8201 et seq.; and</w:t>
      </w:r>
    </w:p>
    <w:p w:rsidR="003D4091" w:rsidRPr="0071288C" w:rsidRDefault="003D4091" w:rsidP="003D4091">
      <w:pPr>
        <w:pStyle w:val="Default"/>
        <w:numPr>
          <w:ilvl w:val="0"/>
          <w:numId w:val="1"/>
        </w:numPr>
        <w:rPr>
          <w:color w:val="auto"/>
        </w:rPr>
      </w:pPr>
      <w:r w:rsidRPr="0071288C">
        <w:rPr>
          <w:color w:val="auto"/>
        </w:rPr>
        <w:t>Where to find resources and support in the State of Idaho.</w:t>
      </w:r>
    </w:p>
    <w:p w:rsidR="00CB1C15" w:rsidRPr="00CB1C15" w:rsidRDefault="00CB1C15" w:rsidP="00CB1C15">
      <w:pPr>
        <w:pStyle w:val="Default"/>
        <w:rPr>
          <w:color w:val="auto"/>
        </w:rPr>
      </w:pPr>
      <w:r w:rsidRPr="00CB1C15">
        <w:rPr>
          <w:color w:val="auto"/>
        </w:rPr>
        <w:t xml:space="preserve"> </w:t>
      </w:r>
    </w:p>
    <w:p w:rsidR="00CB1C15" w:rsidRPr="00CB1C15" w:rsidRDefault="00CB1C15" w:rsidP="00CB1C15">
      <w:pPr>
        <w:pStyle w:val="Default"/>
        <w:rPr>
          <w:color w:val="auto"/>
        </w:rPr>
      </w:pPr>
      <w:r w:rsidRPr="00CB1C15">
        <w:rPr>
          <w:color w:val="auto"/>
        </w:rPr>
        <w:t xml:space="preserve">The Board believes that </w:t>
      </w:r>
      <w:r w:rsidRPr="0071288C">
        <w:rPr>
          <w:color w:val="auto"/>
        </w:rPr>
        <w:t xml:space="preserve">instruction </w:t>
      </w:r>
      <w:r w:rsidR="003D4091" w:rsidRPr="0071288C">
        <w:rPr>
          <w:color w:val="auto"/>
        </w:rPr>
        <w:t>on S</w:t>
      </w:r>
      <w:r w:rsidR="0071288C" w:rsidRPr="0071288C">
        <w:rPr>
          <w:color w:val="auto"/>
        </w:rPr>
        <w:t>TIs</w:t>
      </w:r>
      <w:r w:rsidR="0071288C">
        <w:rPr>
          <w:color w:val="auto"/>
        </w:rPr>
        <w:t xml:space="preserve"> </w:t>
      </w:r>
      <w:r w:rsidR="003D4091">
        <w:rPr>
          <w:color w:val="auto"/>
        </w:rPr>
        <w:t>is</w:t>
      </w:r>
      <w:r w:rsidRPr="00CB1C15">
        <w:rPr>
          <w:color w:val="auto"/>
        </w:rPr>
        <w:t xml:space="preserve"> most effective when integrated into a comprehensive health education program.  Instruction shall be developmentally appropriate to the grade level of the students and shall occur in a systematic manner.  The Board particularly desires that </w:t>
      </w:r>
      <w:r w:rsidRPr="0071288C">
        <w:rPr>
          <w:color w:val="auto"/>
        </w:rPr>
        <w:t xml:space="preserve">students receive proper education about </w:t>
      </w:r>
      <w:r w:rsidR="003D4091" w:rsidRPr="0071288C">
        <w:rPr>
          <w:color w:val="auto"/>
        </w:rPr>
        <w:t xml:space="preserve">STIs </w:t>
      </w:r>
      <w:r w:rsidRPr="0071288C">
        <w:rPr>
          <w:color w:val="auto"/>
        </w:rPr>
        <w:t xml:space="preserve">before they reach the age when they may adopt behaviors that </w:t>
      </w:r>
      <w:r w:rsidR="003D4091" w:rsidRPr="0071288C">
        <w:rPr>
          <w:color w:val="auto"/>
        </w:rPr>
        <w:t xml:space="preserve">increase their </w:t>
      </w:r>
      <w:r w:rsidRPr="0071288C">
        <w:rPr>
          <w:color w:val="auto"/>
        </w:rPr>
        <w:t>risk of contracting</w:t>
      </w:r>
      <w:r w:rsidR="003D4091" w:rsidRPr="0071288C">
        <w:rPr>
          <w:color w:val="auto"/>
        </w:rPr>
        <w:t xml:space="preserve"> an STI.</w:t>
      </w:r>
      <w:r w:rsidRPr="00CB1C15">
        <w:rPr>
          <w:color w:val="auto"/>
        </w:rPr>
        <w:t xml:space="preserve"> </w:t>
      </w:r>
    </w:p>
    <w:p w:rsidR="00CB1C15" w:rsidRPr="00CB1C15" w:rsidRDefault="00CB1C15" w:rsidP="00CB1C15">
      <w:pPr>
        <w:pStyle w:val="Default"/>
        <w:rPr>
          <w:color w:val="auto"/>
        </w:rPr>
      </w:pPr>
      <w:r w:rsidRPr="00CB1C15">
        <w:rPr>
          <w:color w:val="auto"/>
        </w:rPr>
        <w:t xml:space="preserve"> </w:t>
      </w:r>
    </w:p>
    <w:p w:rsidR="0071288C" w:rsidRDefault="00CB1C15" w:rsidP="0071288C">
      <w:pPr>
        <w:pStyle w:val="Default"/>
        <w:rPr>
          <w:color w:val="auto"/>
        </w:rPr>
      </w:pPr>
      <w:r w:rsidRPr="00CB1C15">
        <w:rPr>
          <w:color w:val="auto"/>
        </w:rPr>
        <w:t xml:space="preserve">In order for education about </w:t>
      </w:r>
      <w:r w:rsidR="003D4091" w:rsidRPr="0071288C">
        <w:rPr>
          <w:color w:val="auto"/>
        </w:rPr>
        <w:t xml:space="preserve">STIs </w:t>
      </w:r>
      <w:r w:rsidRPr="0071288C">
        <w:rPr>
          <w:color w:val="auto"/>
        </w:rPr>
        <w:t>to</w:t>
      </w:r>
      <w:r w:rsidRPr="00CB1C15">
        <w:rPr>
          <w:color w:val="auto"/>
        </w:rPr>
        <w:t xml:space="preserve"> be most effective, the Superintendent shall require that faculty members who present this instruction receive continuing in-service training that includes appropriate teaching strategies and techniques.</w:t>
      </w:r>
    </w:p>
    <w:p w:rsidR="0000290F" w:rsidRDefault="0000290F" w:rsidP="00CB1C15">
      <w:pPr>
        <w:pStyle w:val="Default"/>
        <w:rPr>
          <w:strike/>
          <w:color w:val="auto"/>
        </w:rPr>
      </w:pPr>
    </w:p>
    <w:p w:rsidR="0000290F" w:rsidRPr="0000290F" w:rsidRDefault="0000290F" w:rsidP="00CB1C15">
      <w:pPr>
        <w:pStyle w:val="Default"/>
        <w:rPr>
          <w:color w:val="auto"/>
        </w:rPr>
      </w:pPr>
      <w:r w:rsidRPr="0071288C">
        <w:rPr>
          <w:color w:val="auto"/>
        </w:rPr>
        <w:t>No sex education materials or instruction may be provided by any individual or organization that is an abortion provider.</w:t>
      </w:r>
    </w:p>
    <w:p w:rsidR="00CB1C15" w:rsidRPr="0000290F" w:rsidRDefault="00CB1C15" w:rsidP="00A6529C">
      <w:pPr>
        <w:pStyle w:val="Default"/>
        <w:rPr>
          <w:color w:val="auto"/>
        </w:rPr>
      </w:pPr>
      <w:r w:rsidRPr="0000290F">
        <w:rPr>
          <w:color w:val="auto"/>
        </w:rPr>
        <w:t xml:space="preserve">  </w:t>
      </w:r>
    </w:p>
    <w:p w:rsidR="00CB1C15" w:rsidRPr="00CB1C15" w:rsidRDefault="00CB1C15" w:rsidP="00CB1C15">
      <w:pPr>
        <w:pStyle w:val="Default"/>
        <w:rPr>
          <w:color w:val="auto"/>
        </w:rPr>
      </w:pPr>
      <w:r w:rsidRPr="00CB1C15">
        <w:rPr>
          <w:color w:val="auto"/>
          <w:u w:val="single"/>
        </w:rPr>
        <w:lastRenderedPageBreak/>
        <w:t xml:space="preserve">Alcohol, Tobacco, and Drug Education </w:t>
      </w:r>
    </w:p>
    <w:p w:rsidR="00CB1C15" w:rsidRPr="00CB1C15" w:rsidRDefault="00CB1C15" w:rsidP="00CB1C15">
      <w:pPr>
        <w:pStyle w:val="Default"/>
        <w:rPr>
          <w:color w:val="auto"/>
        </w:rPr>
      </w:pPr>
      <w:r w:rsidRPr="00CB1C15">
        <w:rPr>
          <w:color w:val="auto"/>
        </w:rPr>
        <w:t xml:space="preserve"> </w:t>
      </w:r>
    </w:p>
    <w:p w:rsidR="00CB1C15" w:rsidRPr="00CB1C15" w:rsidRDefault="00CB1C15" w:rsidP="00CB1C15">
      <w:pPr>
        <w:pStyle w:val="Default"/>
        <w:rPr>
          <w:color w:val="auto"/>
        </w:rPr>
      </w:pPr>
      <w:r w:rsidRPr="00CB1C15">
        <w:rPr>
          <w:color w:val="auto"/>
        </w:rPr>
        <w:t xml:space="preserve">Students may receive education regarding the use of alcohol, tobacco, and drugs.  The Superintendent, or designee, may develop curriculum for use in health education that provides instruction to students in the areas of prevention, education, treatment, rehabilitation, and legal consequences of alcohol, tobacco, and drug use. </w:t>
      </w:r>
    </w:p>
    <w:p w:rsidR="00CB1C15" w:rsidRPr="00CB1C15" w:rsidRDefault="00CB1C15" w:rsidP="00CB1C15">
      <w:pPr>
        <w:pStyle w:val="Default"/>
        <w:rPr>
          <w:color w:val="auto"/>
        </w:rPr>
      </w:pPr>
      <w:r w:rsidRPr="00CB1C15">
        <w:rPr>
          <w:color w:val="auto"/>
        </w:rPr>
        <w:t xml:space="preserve"> </w:t>
      </w:r>
    </w:p>
    <w:p w:rsidR="00A6529C" w:rsidRDefault="00A6529C" w:rsidP="00CB1C15">
      <w:pPr>
        <w:pStyle w:val="Default"/>
        <w:ind w:left="3600" w:hanging="3600"/>
        <w:rPr>
          <w:color w:val="auto"/>
        </w:rPr>
      </w:pPr>
    </w:p>
    <w:p w:rsidR="00A6529C" w:rsidRDefault="00CB1C15" w:rsidP="00CB1C15">
      <w:pPr>
        <w:pStyle w:val="Default"/>
        <w:ind w:hanging="1440"/>
        <w:rPr>
          <w:color w:val="auto"/>
        </w:rPr>
      </w:pPr>
      <w:r w:rsidRPr="00CB1C15">
        <w:rPr>
          <w:color w:val="auto"/>
        </w:rPr>
        <w:tab/>
        <w:t xml:space="preserve">Cross Reference: </w:t>
      </w:r>
      <w:r w:rsidR="00A6529C">
        <w:rPr>
          <w:color w:val="auto"/>
        </w:rPr>
        <w:tab/>
      </w:r>
      <w:r w:rsidR="00AE50F5">
        <w:rPr>
          <w:color w:val="auto"/>
        </w:rPr>
        <w:t xml:space="preserve">Policy </w:t>
      </w:r>
      <w:r w:rsidRPr="00CB1C15">
        <w:rPr>
          <w:color w:val="auto"/>
        </w:rPr>
        <w:t>23</w:t>
      </w:r>
      <w:r w:rsidR="0071288C">
        <w:rPr>
          <w:color w:val="auto"/>
        </w:rPr>
        <w:t>15</w:t>
      </w:r>
      <w:r w:rsidRPr="00CB1C15">
        <w:rPr>
          <w:color w:val="auto"/>
        </w:rPr>
        <w:t xml:space="preserve">  </w:t>
      </w:r>
      <w:r w:rsidR="00A6529C">
        <w:rPr>
          <w:color w:val="auto"/>
        </w:rPr>
        <w:tab/>
      </w:r>
      <w:r w:rsidR="00A6529C">
        <w:rPr>
          <w:color w:val="auto"/>
        </w:rPr>
        <w:tab/>
      </w:r>
      <w:r w:rsidR="00A6529C">
        <w:rPr>
          <w:color w:val="auto"/>
        </w:rPr>
        <w:tab/>
      </w:r>
      <w:r w:rsidRPr="00CB1C15">
        <w:rPr>
          <w:color w:val="auto"/>
        </w:rPr>
        <w:t>Physical Activity Opportunities and Physical</w:t>
      </w:r>
    </w:p>
    <w:p w:rsidR="00CB1C15" w:rsidRDefault="00CB1C15" w:rsidP="00A6529C">
      <w:pPr>
        <w:pStyle w:val="Default"/>
        <w:ind w:left="4320" w:firstLine="720"/>
        <w:rPr>
          <w:color w:val="auto"/>
        </w:rPr>
      </w:pPr>
      <w:r w:rsidRPr="00CB1C15">
        <w:rPr>
          <w:color w:val="auto"/>
        </w:rPr>
        <w:t xml:space="preserve">Education </w:t>
      </w:r>
    </w:p>
    <w:p w:rsidR="0000290F" w:rsidRDefault="0000290F" w:rsidP="0000290F">
      <w:pPr>
        <w:pStyle w:val="Default"/>
        <w:rPr>
          <w:color w:val="auto"/>
        </w:rPr>
      </w:pPr>
      <w:r>
        <w:rPr>
          <w:color w:val="auto"/>
        </w:rPr>
        <w:tab/>
      </w:r>
      <w:r>
        <w:rPr>
          <w:color w:val="auto"/>
        </w:rPr>
        <w:tab/>
      </w:r>
      <w:r>
        <w:rPr>
          <w:color w:val="auto"/>
        </w:rPr>
        <w:tab/>
      </w:r>
      <w:r w:rsidR="00AE50F5">
        <w:rPr>
          <w:color w:val="auto"/>
        </w:rPr>
        <w:t>Policy 2340</w:t>
      </w:r>
      <w:r>
        <w:rPr>
          <w:color w:val="auto"/>
        </w:rPr>
        <w:tab/>
      </w:r>
      <w:r>
        <w:rPr>
          <w:color w:val="auto"/>
        </w:rPr>
        <w:tab/>
      </w:r>
      <w:r>
        <w:rPr>
          <w:color w:val="auto"/>
        </w:rPr>
        <w:tab/>
        <w:t>Controversial Issues and Academic Freedom</w:t>
      </w:r>
    </w:p>
    <w:p w:rsidR="0000290F" w:rsidRDefault="0000290F" w:rsidP="0000290F">
      <w:pPr>
        <w:pStyle w:val="Default"/>
        <w:rPr>
          <w:color w:val="auto"/>
        </w:rPr>
      </w:pPr>
      <w:r>
        <w:rPr>
          <w:color w:val="auto"/>
        </w:rPr>
        <w:tab/>
      </w:r>
      <w:r>
        <w:rPr>
          <w:color w:val="auto"/>
        </w:rPr>
        <w:tab/>
      </w:r>
      <w:r>
        <w:rPr>
          <w:color w:val="auto"/>
        </w:rPr>
        <w:tab/>
      </w:r>
      <w:r w:rsidR="00AE50F5">
        <w:rPr>
          <w:color w:val="auto"/>
        </w:rPr>
        <w:t>Policy 2340 F1</w:t>
      </w:r>
      <w:r>
        <w:rPr>
          <w:color w:val="auto"/>
        </w:rPr>
        <w:tab/>
      </w:r>
      <w:r>
        <w:rPr>
          <w:color w:val="auto"/>
        </w:rPr>
        <w:tab/>
        <w:t>Controversial Issues and Academic Freedom</w:t>
      </w:r>
    </w:p>
    <w:p w:rsidR="0000290F" w:rsidRPr="00CB1C15" w:rsidRDefault="0000290F" w:rsidP="0000290F">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t xml:space="preserve">Parental Opt-Out Form for Sex </w:t>
      </w:r>
      <w:r w:rsidR="000434B6">
        <w:rPr>
          <w:color w:val="auto"/>
        </w:rPr>
        <w:t>Education</w:t>
      </w:r>
    </w:p>
    <w:p w:rsidR="00CB1C15" w:rsidRDefault="00CB1C15" w:rsidP="00CB1C15">
      <w:pPr>
        <w:pStyle w:val="Default"/>
        <w:rPr>
          <w:color w:val="auto"/>
        </w:rPr>
      </w:pPr>
      <w:r w:rsidRPr="00CB1C15">
        <w:rPr>
          <w:color w:val="auto"/>
        </w:rPr>
        <w:t xml:space="preserve"> </w:t>
      </w:r>
    </w:p>
    <w:p w:rsidR="000434B6" w:rsidRDefault="00A6529C" w:rsidP="00A6529C">
      <w:pPr>
        <w:pStyle w:val="Default"/>
        <w:ind w:left="2160" w:hanging="2160"/>
        <w:rPr>
          <w:color w:val="auto"/>
        </w:rPr>
      </w:pPr>
      <w:r w:rsidRPr="00CB1C15">
        <w:rPr>
          <w:color w:val="auto"/>
        </w:rPr>
        <w:t xml:space="preserve">Legal Reference: </w:t>
      </w:r>
      <w:r>
        <w:rPr>
          <w:color w:val="auto"/>
        </w:rPr>
        <w:tab/>
      </w:r>
      <w:r w:rsidR="000434B6">
        <w:rPr>
          <w:color w:val="auto"/>
        </w:rPr>
        <w:t xml:space="preserve">I.C. </w:t>
      </w:r>
      <w:r w:rsidR="000434B6">
        <w:t xml:space="preserve">§ </w:t>
      </w:r>
      <w:r w:rsidR="000434B6">
        <w:rPr>
          <w:color w:val="auto"/>
        </w:rPr>
        <w:t>18-8707</w:t>
      </w:r>
      <w:r w:rsidR="000434B6">
        <w:rPr>
          <w:color w:val="auto"/>
        </w:rPr>
        <w:tab/>
      </w:r>
      <w:r w:rsidR="000434B6">
        <w:rPr>
          <w:color w:val="auto"/>
        </w:rPr>
        <w:tab/>
      </w:r>
      <w:r w:rsidR="000434B6">
        <w:rPr>
          <w:color w:val="auto"/>
        </w:rPr>
        <w:tab/>
        <w:t>Abortion-Related Activities Prohibited in</w:t>
      </w:r>
    </w:p>
    <w:p w:rsidR="000434B6" w:rsidRDefault="000434B6" w:rsidP="00A6529C">
      <w:pPr>
        <w:pStyle w:val="Default"/>
        <w:ind w:left="2160" w:hanging="2160"/>
        <w:rPr>
          <w:color w:val="auto"/>
        </w:rPr>
      </w:pPr>
      <w:r>
        <w:rPr>
          <w:color w:val="auto"/>
        </w:rPr>
        <w:tab/>
      </w:r>
      <w:r>
        <w:rPr>
          <w:color w:val="auto"/>
        </w:rPr>
        <w:tab/>
      </w:r>
      <w:r>
        <w:rPr>
          <w:color w:val="auto"/>
        </w:rPr>
        <w:tab/>
      </w:r>
      <w:r>
        <w:rPr>
          <w:color w:val="auto"/>
        </w:rPr>
        <w:tab/>
      </w:r>
      <w:r>
        <w:rPr>
          <w:color w:val="auto"/>
        </w:rPr>
        <w:tab/>
        <w:t xml:space="preserve">School-Based Health Clinics and Sex </w:t>
      </w:r>
    </w:p>
    <w:p w:rsidR="000434B6" w:rsidRDefault="000434B6" w:rsidP="00A6529C">
      <w:pPr>
        <w:pStyle w:val="Default"/>
        <w:ind w:left="2160" w:hanging="2160"/>
        <w:rPr>
          <w:color w:val="auto"/>
        </w:rPr>
      </w:pPr>
      <w:r>
        <w:rPr>
          <w:color w:val="auto"/>
        </w:rPr>
        <w:tab/>
      </w:r>
      <w:r>
        <w:rPr>
          <w:color w:val="auto"/>
        </w:rPr>
        <w:tab/>
      </w:r>
      <w:r>
        <w:rPr>
          <w:color w:val="auto"/>
        </w:rPr>
        <w:tab/>
      </w:r>
      <w:r>
        <w:rPr>
          <w:color w:val="auto"/>
        </w:rPr>
        <w:tab/>
      </w:r>
      <w:r>
        <w:rPr>
          <w:color w:val="auto"/>
        </w:rPr>
        <w:tab/>
        <w:t>Education Curricula</w:t>
      </w:r>
    </w:p>
    <w:p w:rsidR="00A6529C" w:rsidRDefault="00A6529C" w:rsidP="000434B6">
      <w:pPr>
        <w:pStyle w:val="Default"/>
        <w:ind w:left="2160"/>
        <w:rPr>
          <w:color w:val="auto"/>
        </w:rPr>
      </w:pPr>
      <w:r w:rsidRPr="00CB1C15">
        <w:rPr>
          <w:color w:val="auto"/>
        </w:rPr>
        <w:t xml:space="preserve">I.C. § 33-1605  </w:t>
      </w:r>
      <w:r>
        <w:rPr>
          <w:color w:val="auto"/>
        </w:rPr>
        <w:tab/>
      </w:r>
      <w:r>
        <w:rPr>
          <w:color w:val="auto"/>
        </w:rPr>
        <w:tab/>
      </w:r>
      <w:r w:rsidRPr="00CB1C15">
        <w:rPr>
          <w:color w:val="auto"/>
        </w:rPr>
        <w:t xml:space="preserve">Health and Physical Fitness – Effects of </w:t>
      </w:r>
    </w:p>
    <w:p w:rsidR="00A6529C" w:rsidRPr="00CB1C15" w:rsidRDefault="00A6529C" w:rsidP="00A6529C">
      <w:pPr>
        <w:pStyle w:val="Default"/>
        <w:ind w:left="2160" w:hanging="2160"/>
        <w:rPr>
          <w:color w:val="auto"/>
        </w:rPr>
      </w:pPr>
      <w:r>
        <w:rPr>
          <w:color w:val="auto"/>
        </w:rPr>
        <w:tab/>
      </w:r>
      <w:r>
        <w:rPr>
          <w:color w:val="auto"/>
        </w:rPr>
        <w:tab/>
      </w:r>
      <w:r>
        <w:rPr>
          <w:color w:val="auto"/>
        </w:rPr>
        <w:tab/>
      </w:r>
      <w:bookmarkStart w:id="0" w:name="_GoBack"/>
      <w:bookmarkEnd w:id="0"/>
      <w:r>
        <w:rPr>
          <w:color w:val="auto"/>
        </w:rPr>
        <w:tab/>
      </w:r>
      <w:r>
        <w:rPr>
          <w:color w:val="auto"/>
        </w:rPr>
        <w:tab/>
      </w:r>
      <w:r w:rsidRPr="00CB1C15">
        <w:rPr>
          <w:color w:val="auto"/>
        </w:rPr>
        <w:t>Alcohol,</w:t>
      </w:r>
      <w:r>
        <w:rPr>
          <w:color w:val="auto"/>
        </w:rPr>
        <w:t xml:space="preserve"> </w:t>
      </w:r>
      <w:r w:rsidRPr="00CB1C15">
        <w:rPr>
          <w:color w:val="auto"/>
        </w:rPr>
        <w:t xml:space="preserve">Tobacco, Stimulants and Narcotics </w:t>
      </w:r>
    </w:p>
    <w:p w:rsidR="00A6529C" w:rsidRDefault="00A6529C" w:rsidP="00A6529C">
      <w:pPr>
        <w:pStyle w:val="Default"/>
        <w:ind w:left="2160" w:hanging="2160"/>
        <w:rPr>
          <w:color w:val="auto"/>
        </w:rPr>
      </w:pPr>
      <w:r w:rsidRPr="00CB1C15">
        <w:rPr>
          <w:color w:val="auto"/>
        </w:rPr>
        <w:t xml:space="preserve">                       </w:t>
      </w:r>
      <w:r>
        <w:rPr>
          <w:color w:val="auto"/>
        </w:rPr>
        <w:tab/>
      </w:r>
      <w:r w:rsidRPr="00CB1C15">
        <w:rPr>
          <w:color w:val="auto"/>
        </w:rPr>
        <w:t xml:space="preserve">I.C. § 33-1608 </w:t>
      </w:r>
      <w:r w:rsidRPr="00A6529C">
        <w:rPr>
          <w:i/>
          <w:color w:val="auto"/>
        </w:rPr>
        <w:t>et seq.</w:t>
      </w:r>
      <w:r w:rsidRPr="00CB1C15">
        <w:rPr>
          <w:color w:val="auto"/>
        </w:rPr>
        <w:t xml:space="preserve"> </w:t>
      </w:r>
      <w:r>
        <w:rPr>
          <w:color w:val="auto"/>
        </w:rPr>
        <w:tab/>
      </w:r>
      <w:r>
        <w:rPr>
          <w:color w:val="auto"/>
        </w:rPr>
        <w:tab/>
      </w:r>
      <w:r w:rsidRPr="00CB1C15">
        <w:rPr>
          <w:color w:val="auto"/>
        </w:rPr>
        <w:t>Family Life and Sex Education – Legislative</w:t>
      </w:r>
    </w:p>
    <w:p w:rsidR="00A6529C" w:rsidRDefault="00A6529C" w:rsidP="00A6529C">
      <w:pPr>
        <w:pStyle w:val="Default"/>
        <w:ind w:left="4320" w:firstLine="720"/>
        <w:rPr>
          <w:color w:val="auto"/>
        </w:rPr>
      </w:pPr>
      <w:r w:rsidRPr="00CB1C15">
        <w:rPr>
          <w:color w:val="auto"/>
        </w:rPr>
        <w:t xml:space="preserve">Policy </w:t>
      </w:r>
    </w:p>
    <w:p w:rsidR="0000290F" w:rsidRDefault="0000290F" w:rsidP="0000290F">
      <w:pPr>
        <w:pStyle w:val="Default"/>
      </w:pPr>
      <w:r>
        <w:rPr>
          <w:color w:val="auto"/>
        </w:rPr>
        <w:tab/>
      </w:r>
      <w:r>
        <w:rPr>
          <w:color w:val="auto"/>
        </w:rPr>
        <w:tab/>
      </w:r>
      <w:r>
        <w:rPr>
          <w:color w:val="auto"/>
        </w:rPr>
        <w:tab/>
        <w:t xml:space="preserve">I.C. </w:t>
      </w:r>
      <w:r>
        <w:t>§ 33-342</w:t>
      </w:r>
      <w:r>
        <w:tab/>
      </w:r>
      <w:r>
        <w:tab/>
      </w:r>
      <w:r>
        <w:tab/>
        <w:t>Adoption Education</w:t>
      </w:r>
    </w:p>
    <w:p w:rsidR="0000290F" w:rsidRPr="0000290F" w:rsidRDefault="0000290F" w:rsidP="0000290F">
      <w:pPr>
        <w:pStyle w:val="Default"/>
      </w:pPr>
      <w:r>
        <w:tab/>
      </w:r>
      <w:r>
        <w:tab/>
      </w:r>
      <w:r>
        <w:tab/>
        <w:t>I.C. § 39-8201 et. Seq.</w:t>
      </w:r>
      <w:r>
        <w:tab/>
        <w:t>Idaho Safe Haven Act</w:t>
      </w:r>
    </w:p>
    <w:p w:rsidR="00A6529C" w:rsidRPr="00CB1C15" w:rsidRDefault="00A6529C" w:rsidP="00A6529C">
      <w:pPr>
        <w:pStyle w:val="Default"/>
        <w:ind w:left="2160" w:hanging="2160"/>
        <w:rPr>
          <w:color w:val="auto"/>
        </w:rPr>
      </w:pPr>
      <w:r w:rsidRPr="00CB1C15">
        <w:rPr>
          <w:color w:val="auto"/>
        </w:rPr>
        <w:t xml:space="preserve">                       </w:t>
      </w:r>
      <w:r>
        <w:rPr>
          <w:color w:val="auto"/>
        </w:rPr>
        <w:tab/>
      </w:r>
      <w:r w:rsidRPr="00CB1C15">
        <w:rPr>
          <w:color w:val="auto"/>
        </w:rPr>
        <w:t>IDAPA 08.02.03.</w:t>
      </w:r>
      <w:r>
        <w:rPr>
          <w:color w:val="auto"/>
        </w:rPr>
        <w:t>160</w:t>
      </w:r>
      <w:r w:rsidRPr="00CB1C15">
        <w:rPr>
          <w:color w:val="auto"/>
        </w:rPr>
        <w:t xml:space="preserve"> </w:t>
      </w:r>
      <w:r>
        <w:rPr>
          <w:color w:val="auto"/>
        </w:rPr>
        <w:tab/>
      </w:r>
      <w:r>
        <w:rPr>
          <w:color w:val="auto"/>
        </w:rPr>
        <w:tab/>
        <w:t>Safe Environment and Discipline</w:t>
      </w:r>
      <w:r w:rsidRPr="00CB1C15">
        <w:rPr>
          <w:color w:val="auto"/>
        </w:rPr>
        <w:t xml:space="preserve"> </w:t>
      </w:r>
    </w:p>
    <w:p w:rsidR="00A6529C" w:rsidRDefault="00A6529C" w:rsidP="00CB1C15">
      <w:pPr>
        <w:pStyle w:val="Default"/>
        <w:rPr>
          <w:color w:val="auto"/>
        </w:rPr>
      </w:pPr>
    </w:p>
    <w:p w:rsidR="00A6529C" w:rsidRPr="00CB1C15" w:rsidRDefault="00A6529C" w:rsidP="00CB1C15">
      <w:pPr>
        <w:pStyle w:val="Default"/>
        <w:rPr>
          <w:color w:val="auto"/>
        </w:rPr>
      </w:pPr>
    </w:p>
    <w:p w:rsidR="00CB1C15" w:rsidRPr="00CB1C15" w:rsidRDefault="00CB1C15" w:rsidP="00CB1C15">
      <w:pPr>
        <w:pStyle w:val="Default"/>
        <w:rPr>
          <w:color w:val="auto"/>
        </w:rPr>
      </w:pPr>
      <w:r w:rsidRPr="00CB1C15">
        <w:rPr>
          <w:color w:val="auto"/>
          <w:u w:val="single"/>
        </w:rPr>
        <w:t>Policy History:</w:t>
      </w:r>
    </w:p>
    <w:p w:rsidR="00CB1C15" w:rsidRPr="00CB1C15" w:rsidRDefault="00CB1C15" w:rsidP="00CB1C15">
      <w:pPr>
        <w:pStyle w:val="Default"/>
        <w:rPr>
          <w:color w:val="auto"/>
        </w:rPr>
      </w:pPr>
      <w:r w:rsidRPr="00CB1C15">
        <w:rPr>
          <w:color w:val="auto"/>
        </w:rPr>
        <w:t>Adopted on: March 23, 2015</w:t>
      </w:r>
    </w:p>
    <w:p w:rsidR="00CB1C15" w:rsidRDefault="00CB1C15" w:rsidP="00CB1C15">
      <w:pPr>
        <w:pStyle w:val="Default"/>
        <w:rPr>
          <w:color w:val="auto"/>
        </w:rPr>
      </w:pPr>
      <w:r w:rsidRPr="00CB1C15">
        <w:rPr>
          <w:color w:val="auto"/>
        </w:rPr>
        <w:t xml:space="preserve">Revised on: </w:t>
      </w:r>
      <w:r w:rsidR="00A6529C">
        <w:rPr>
          <w:color w:val="auto"/>
        </w:rPr>
        <w:t>July 13, 2020</w:t>
      </w:r>
    </w:p>
    <w:p w:rsidR="00A6529C" w:rsidRPr="00CB1C15" w:rsidRDefault="0000290F" w:rsidP="00CB1C15">
      <w:pPr>
        <w:pStyle w:val="Default"/>
        <w:rPr>
          <w:color w:val="auto"/>
        </w:rPr>
      </w:pPr>
      <w:r>
        <w:rPr>
          <w:color w:val="auto"/>
        </w:rPr>
        <w:t>Revised on: September 9, 2024</w:t>
      </w:r>
    </w:p>
    <w:p w:rsidR="003751A9" w:rsidRDefault="003751A9"/>
    <w:sectPr w:rsidR="003751A9" w:rsidSect="003751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9E" w:rsidRDefault="0043739E" w:rsidP="00CB1C15">
      <w:pPr>
        <w:spacing w:after="0" w:line="240" w:lineRule="auto"/>
      </w:pPr>
      <w:r>
        <w:separator/>
      </w:r>
    </w:p>
  </w:endnote>
  <w:endnote w:type="continuationSeparator" w:id="0">
    <w:p w:rsidR="0043739E" w:rsidRDefault="0043739E" w:rsidP="00CB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65"/>
      <w:docPartObj>
        <w:docPartGallery w:val="Page Numbers (Bottom of Page)"/>
        <w:docPartUnique/>
      </w:docPartObj>
    </w:sdtPr>
    <w:sdtEndPr/>
    <w:sdtContent>
      <w:p w:rsidR="003D4091" w:rsidRDefault="003D4091">
        <w:pPr>
          <w:pStyle w:val="Footer"/>
          <w:jc w:val="center"/>
        </w:pPr>
        <w:r w:rsidRPr="00CB1C15">
          <w:rPr>
            <w:rFonts w:ascii="Times New Roman" w:hAnsi="Times New Roman" w:cs="Times New Roman"/>
          </w:rPr>
          <w:t>2320-</w:t>
        </w:r>
        <w:r w:rsidRPr="00CB1C15">
          <w:rPr>
            <w:rFonts w:ascii="Times New Roman" w:hAnsi="Times New Roman" w:cs="Times New Roman"/>
          </w:rPr>
          <w:fldChar w:fldCharType="begin"/>
        </w:r>
        <w:r w:rsidRPr="00CB1C15">
          <w:rPr>
            <w:rFonts w:ascii="Times New Roman" w:hAnsi="Times New Roman" w:cs="Times New Roman"/>
          </w:rPr>
          <w:instrText xml:space="preserve"> PAGE   \* MERGEFORMAT </w:instrText>
        </w:r>
        <w:r w:rsidRPr="00CB1C15">
          <w:rPr>
            <w:rFonts w:ascii="Times New Roman" w:hAnsi="Times New Roman" w:cs="Times New Roman"/>
          </w:rPr>
          <w:fldChar w:fldCharType="separate"/>
        </w:r>
        <w:r w:rsidR="00AE50F5">
          <w:rPr>
            <w:rFonts w:ascii="Times New Roman" w:hAnsi="Times New Roman" w:cs="Times New Roman"/>
            <w:noProof/>
          </w:rPr>
          <w:t>2</w:t>
        </w:r>
        <w:r w:rsidRPr="00CB1C15">
          <w:rPr>
            <w:rFonts w:ascii="Times New Roman" w:hAnsi="Times New Roman" w:cs="Times New Roman"/>
          </w:rPr>
          <w:fldChar w:fldCharType="end"/>
        </w:r>
      </w:p>
    </w:sdtContent>
  </w:sdt>
  <w:p w:rsidR="003D4091" w:rsidRDefault="003D40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9E" w:rsidRDefault="0043739E" w:rsidP="00CB1C15">
      <w:pPr>
        <w:spacing w:after="0" w:line="240" w:lineRule="auto"/>
      </w:pPr>
      <w:r>
        <w:separator/>
      </w:r>
    </w:p>
  </w:footnote>
  <w:footnote w:type="continuationSeparator" w:id="0">
    <w:p w:rsidR="0043739E" w:rsidRDefault="0043739E" w:rsidP="00CB1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885"/>
    <w:multiLevelType w:val="hybridMultilevel"/>
    <w:tmpl w:val="F7E8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15"/>
    <w:rsid w:val="0000290F"/>
    <w:rsid w:val="000434B6"/>
    <w:rsid w:val="003751A9"/>
    <w:rsid w:val="003D4091"/>
    <w:rsid w:val="0043739E"/>
    <w:rsid w:val="005424D7"/>
    <w:rsid w:val="006B3F5C"/>
    <w:rsid w:val="0071288C"/>
    <w:rsid w:val="007E299F"/>
    <w:rsid w:val="00A6529C"/>
    <w:rsid w:val="00AE50F5"/>
    <w:rsid w:val="00CB1C15"/>
    <w:rsid w:val="00E1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6B05"/>
  <w15:docId w15:val="{F8DA8FB8-6C07-4857-8BD4-FAB29BB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C1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CB1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C15"/>
  </w:style>
  <w:style w:type="paragraph" w:styleId="Footer">
    <w:name w:val="footer"/>
    <w:basedOn w:val="Normal"/>
    <w:link w:val="FooterChar"/>
    <w:uiPriority w:val="99"/>
    <w:unhideWhenUsed/>
    <w:rsid w:val="00CB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15"/>
  </w:style>
  <w:style w:type="paragraph" w:styleId="BalloonText">
    <w:name w:val="Balloon Text"/>
    <w:basedOn w:val="Normal"/>
    <w:link w:val="BalloonTextChar"/>
    <w:uiPriority w:val="99"/>
    <w:semiHidden/>
    <w:unhideWhenUsed/>
    <w:rsid w:val="00A65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3</cp:revision>
  <cp:lastPrinted>2024-09-10T16:44:00Z</cp:lastPrinted>
  <dcterms:created xsi:type="dcterms:W3CDTF">2024-09-10T16:44:00Z</dcterms:created>
  <dcterms:modified xsi:type="dcterms:W3CDTF">2024-09-10T16:46:00Z</dcterms:modified>
</cp:coreProperties>
</file>