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DE1" w:rsidRPr="00AC1DE1" w:rsidRDefault="00AC1DE1" w:rsidP="00AC1DE1">
      <w:pPr>
        <w:pStyle w:val="Default"/>
        <w:pageBreakBefore/>
        <w:rPr>
          <w:color w:val="auto"/>
        </w:rPr>
      </w:pPr>
      <w:r w:rsidRPr="00AC1DE1">
        <w:rPr>
          <w:b/>
          <w:bCs/>
          <w:color w:val="auto"/>
        </w:rPr>
        <w:t xml:space="preserve">Mackay School District No. 182 </w:t>
      </w:r>
    </w:p>
    <w:p w:rsidR="00AC1DE1" w:rsidRPr="00AC1DE1" w:rsidRDefault="00AC1DE1" w:rsidP="00AC1DE1">
      <w:pPr>
        <w:pStyle w:val="Default"/>
        <w:rPr>
          <w:color w:val="auto"/>
        </w:rPr>
      </w:pPr>
      <w:r w:rsidRPr="00AC1DE1">
        <w:rPr>
          <w:b/>
          <w:bCs/>
          <w:color w:val="auto"/>
        </w:rPr>
        <w:t xml:space="preserve"> </w:t>
      </w:r>
    </w:p>
    <w:p w:rsidR="00AC1DE1" w:rsidRPr="00AC1DE1" w:rsidRDefault="00AC1DE1" w:rsidP="00AC1DE1">
      <w:pPr>
        <w:pStyle w:val="Default"/>
        <w:rPr>
          <w:color w:val="auto"/>
        </w:rPr>
      </w:pPr>
      <w:r w:rsidRPr="00AC1DE1">
        <w:rPr>
          <w:b/>
          <w:bCs/>
          <w:color w:val="auto"/>
        </w:rPr>
        <w:t xml:space="preserve">INSTRUCTION </w:t>
      </w:r>
      <w:r w:rsidRPr="00AC1DE1">
        <w:rPr>
          <w:b/>
          <w:bCs/>
          <w:color w:val="auto"/>
        </w:rPr>
        <w:tab/>
      </w:r>
      <w:r w:rsidRPr="00AC1DE1">
        <w:rPr>
          <w:b/>
          <w:bCs/>
          <w:color w:val="auto"/>
        </w:rPr>
        <w:tab/>
      </w:r>
      <w:r w:rsidRPr="00AC1DE1">
        <w:rPr>
          <w:b/>
          <w:bCs/>
          <w:color w:val="auto"/>
        </w:rPr>
        <w:tab/>
      </w:r>
      <w:r w:rsidRPr="00AC1DE1">
        <w:rPr>
          <w:b/>
          <w:bCs/>
          <w:color w:val="auto"/>
        </w:rPr>
        <w:tab/>
      </w:r>
      <w:r w:rsidRPr="00AC1DE1">
        <w:rPr>
          <w:b/>
          <w:bCs/>
          <w:color w:val="auto"/>
        </w:rPr>
        <w:tab/>
      </w:r>
      <w:r w:rsidRPr="00AC1DE1">
        <w:rPr>
          <w:b/>
          <w:bCs/>
          <w:color w:val="auto"/>
        </w:rPr>
        <w:tab/>
      </w:r>
      <w:r w:rsidRPr="00AC1DE1">
        <w:rPr>
          <w:b/>
          <w:bCs/>
          <w:color w:val="auto"/>
        </w:rPr>
        <w:tab/>
      </w:r>
      <w:r w:rsidRPr="00AC1DE1">
        <w:rPr>
          <w:b/>
          <w:bCs/>
          <w:color w:val="auto"/>
        </w:rPr>
        <w:tab/>
      </w:r>
      <w:r w:rsidRPr="00AC1DE1">
        <w:rPr>
          <w:b/>
          <w:bCs/>
          <w:color w:val="auto"/>
        </w:rPr>
        <w:tab/>
      </w:r>
      <w:r w:rsidRPr="00AC1DE1">
        <w:rPr>
          <w:b/>
          <w:bCs/>
          <w:color w:val="auto"/>
        </w:rPr>
        <w:tab/>
        <w:t>2335</w:t>
      </w:r>
      <w:r w:rsidRPr="00AC1DE1">
        <w:rPr>
          <w:color w:val="auto"/>
        </w:rPr>
        <w:t xml:space="preserve"> </w:t>
      </w:r>
    </w:p>
    <w:p w:rsidR="00AC1DE1" w:rsidRPr="00AC1DE1" w:rsidRDefault="00AC1DE1" w:rsidP="00AC1DE1">
      <w:pPr>
        <w:pStyle w:val="Default"/>
        <w:rPr>
          <w:color w:val="auto"/>
        </w:rPr>
      </w:pPr>
      <w:r w:rsidRPr="00AC1DE1">
        <w:rPr>
          <w:color w:val="auto"/>
        </w:rPr>
        <w:t xml:space="preserve"> </w:t>
      </w:r>
    </w:p>
    <w:p w:rsidR="00AC1DE1" w:rsidRPr="00AC1DE1" w:rsidRDefault="00AC1DE1" w:rsidP="00AC1DE1">
      <w:pPr>
        <w:pStyle w:val="Default"/>
        <w:rPr>
          <w:color w:val="auto"/>
        </w:rPr>
      </w:pPr>
      <w:r w:rsidRPr="00AC1DE1">
        <w:rPr>
          <w:color w:val="auto"/>
          <w:u w:val="single"/>
        </w:rPr>
        <w:t>Digital Citizenship and Safety Education</w:t>
      </w:r>
    </w:p>
    <w:p w:rsidR="00AC1DE1" w:rsidRPr="00AC1DE1" w:rsidRDefault="00AC1DE1" w:rsidP="00AC1DE1">
      <w:pPr>
        <w:pStyle w:val="Default"/>
        <w:rPr>
          <w:color w:val="auto"/>
        </w:rPr>
      </w:pPr>
      <w:r w:rsidRPr="00AC1DE1">
        <w:rPr>
          <w:color w:val="auto"/>
        </w:rPr>
        <w:t xml:space="preserve"> </w:t>
      </w:r>
    </w:p>
    <w:p w:rsidR="00FD7EB1" w:rsidRDefault="00FD7EB1" w:rsidP="00AC1DE1">
      <w:pPr>
        <w:pStyle w:val="Default"/>
        <w:rPr>
          <w:color w:val="auto"/>
        </w:rPr>
      </w:pPr>
      <w:r>
        <w:rPr>
          <w:color w:val="auto"/>
        </w:rPr>
        <w:t>Technology will be integral to curriculum, instruction, and assessment. The District’s educational system must lay the foundation for students to participate comfortably in an increasingly technological society. Classroom activities will include instruction using multimedia, distance learning and other technologies.</w:t>
      </w:r>
    </w:p>
    <w:p w:rsidR="00FD7EB1" w:rsidRDefault="00FD7EB1" w:rsidP="00AC1DE1">
      <w:pPr>
        <w:pStyle w:val="Default"/>
        <w:rPr>
          <w:color w:val="auto"/>
        </w:rPr>
      </w:pPr>
    </w:p>
    <w:p w:rsidR="00AC1DE1" w:rsidRPr="00AC1DE1" w:rsidRDefault="00AC1DE1" w:rsidP="00AC1DE1">
      <w:pPr>
        <w:pStyle w:val="Default"/>
        <w:rPr>
          <w:color w:val="auto"/>
        </w:rPr>
      </w:pPr>
      <w:r w:rsidRPr="00AC1DE1">
        <w:rPr>
          <w:color w:val="auto"/>
        </w:rPr>
        <w:t>The Superintendent will ensure that District students are educated</w:t>
      </w:r>
      <w:r w:rsidR="00561A09">
        <w:rPr>
          <w:color w:val="auto"/>
        </w:rPr>
        <w:t xml:space="preserve"> </w:t>
      </w:r>
      <w:r w:rsidRPr="00AC1DE1">
        <w:rPr>
          <w:color w:val="auto"/>
        </w:rPr>
        <w:t>and appropriate online behavior, including cyber-bullying awareness, digital citizenship, and online safety</w:t>
      </w:r>
      <w:r w:rsidR="00C312F1">
        <w:rPr>
          <w:color w:val="auto"/>
        </w:rPr>
        <w:t xml:space="preserve"> </w:t>
      </w:r>
      <w:r w:rsidR="00C312F1" w:rsidRPr="00561A09">
        <w:rPr>
          <w:color w:val="auto"/>
        </w:rPr>
        <w:t>and etiquette.</w:t>
      </w:r>
      <w:r w:rsidRPr="00AC1DE1">
        <w:rPr>
          <w:color w:val="auto"/>
        </w:rPr>
        <w:t xml:space="preserve">  Instruction will be given to students as appropriate to the educational and developmental needs of students. </w:t>
      </w:r>
    </w:p>
    <w:p w:rsidR="00AC1DE1" w:rsidRPr="00AC1DE1" w:rsidRDefault="00AC1DE1" w:rsidP="00AC1DE1">
      <w:pPr>
        <w:pStyle w:val="Default"/>
        <w:rPr>
          <w:color w:val="auto"/>
        </w:rPr>
      </w:pPr>
      <w:r w:rsidRPr="00AC1DE1">
        <w:rPr>
          <w:color w:val="auto"/>
        </w:rPr>
        <w:t xml:space="preserve"> </w:t>
      </w:r>
    </w:p>
    <w:p w:rsidR="00AC1DE1" w:rsidRPr="00AC1DE1" w:rsidRDefault="00AC1DE1" w:rsidP="00AC1DE1">
      <w:pPr>
        <w:pStyle w:val="Default"/>
        <w:rPr>
          <w:color w:val="auto"/>
        </w:rPr>
      </w:pPr>
      <w:r w:rsidRPr="00AC1DE1">
        <w:rPr>
          <w:color w:val="auto"/>
        </w:rPr>
        <w:t xml:space="preserve">The Superintendent will ensure that teachers, administrators and other staff members responsible for supervising students’ internet use receive professional development, training, and resources in the following areas: </w:t>
      </w:r>
    </w:p>
    <w:p w:rsidR="00AC1DE1" w:rsidRPr="00AC1DE1" w:rsidRDefault="00AC1DE1" w:rsidP="00AC1DE1">
      <w:pPr>
        <w:pStyle w:val="Default"/>
        <w:rPr>
          <w:color w:val="auto"/>
        </w:rPr>
      </w:pPr>
      <w:r w:rsidRPr="00AC1DE1">
        <w:rPr>
          <w:color w:val="auto"/>
        </w:rPr>
        <w:t xml:space="preserve"> </w:t>
      </w:r>
    </w:p>
    <w:p w:rsidR="00AC1DE1" w:rsidRPr="00AC1DE1" w:rsidRDefault="00AC1DE1" w:rsidP="00AC1DE1">
      <w:pPr>
        <w:pStyle w:val="Default"/>
        <w:ind w:left="720" w:hanging="360"/>
        <w:rPr>
          <w:color w:val="auto"/>
        </w:rPr>
      </w:pPr>
      <w:r w:rsidRPr="00AC1DE1">
        <w:rPr>
          <w:color w:val="auto"/>
        </w:rPr>
        <w:t>1.</w:t>
      </w:r>
      <w:r w:rsidRPr="00AC1DE1">
        <w:rPr>
          <w:rFonts w:ascii="Arial" w:hAnsi="Arial" w:cs="Arial"/>
          <w:color w:val="auto"/>
        </w:rPr>
        <w:t xml:space="preserve"> </w:t>
      </w:r>
      <w:r w:rsidRPr="00AC1DE1">
        <w:rPr>
          <w:color w:val="auto"/>
        </w:rPr>
        <w:t xml:space="preserve">Monitoring of student online activities; </w:t>
      </w:r>
    </w:p>
    <w:p w:rsidR="00AC1DE1" w:rsidRPr="00561A09" w:rsidRDefault="00AC1DE1" w:rsidP="00AC1DE1">
      <w:pPr>
        <w:pStyle w:val="Default"/>
        <w:ind w:left="720" w:hanging="360"/>
        <w:rPr>
          <w:color w:val="auto"/>
        </w:rPr>
      </w:pPr>
      <w:r w:rsidRPr="00AC1DE1">
        <w:rPr>
          <w:color w:val="auto"/>
        </w:rPr>
        <w:t>2.</w:t>
      </w:r>
      <w:r w:rsidRPr="00AC1DE1">
        <w:rPr>
          <w:rFonts w:ascii="Arial" w:hAnsi="Arial" w:cs="Arial"/>
          <w:color w:val="auto"/>
        </w:rPr>
        <w:t xml:space="preserve"> </w:t>
      </w:r>
      <w:r w:rsidRPr="00AC1DE1">
        <w:rPr>
          <w:color w:val="auto"/>
        </w:rPr>
        <w:t xml:space="preserve">Instruction of students in proper </w:t>
      </w:r>
      <w:r w:rsidR="00C312F1" w:rsidRPr="00561A09">
        <w:rPr>
          <w:color w:val="auto"/>
        </w:rPr>
        <w:t xml:space="preserve">online </w:t>
      </w:r>
      <w:r w:rsidRPr="00561A09">
        <w:rPr>
          <w:color w:val="auto"/>
        </w:rPr>
        <w:t xml:space="preserve">etiquette; </w:t>
      </w:r>
    </w:p>
    <w:p w:rsidR="00AC1DE1" w:rsidRPr="00AC1DE1" w:rsidRDefault="00AC1DE1" w:rsidP="00AC1DE1">
      <w:pPr>
        <w:pStyle w:val="Default"/>
        <w:ind w:left="720" w:hanging="360"/>
        <w:rPr>
          <w:color w:val="auto"/>
        </w:rPr>
      </w:pPr>
      <w:r w:rsidRPr="00561A09">
        <w:rPr>
          <w:color w:val="auto"/>
        </w:rPr>
        <w:t>3.</w:t>
      </w:r>
      <w:r w:rsidRPr="00561A09">
        <w:rPr>
          <w:rFonts w:ascii="Arial" w:hAnsi="Arial" w:cs="Arial"/>
          <w:color w:val="auto"/>
        </w:rPr>
        <w:t xml:space="preserve"> </w:t>
      </w:r>
      <w:r w:rsidRPr="00561A09">
        <w:rPr>
          <w:color w:val="auto"/>
        </w:rPr>
        <w:t>Instruction of students in discerning amo</w:t>
      </w:r>
      <w:r w:rsidRPr="00AC1DE1">
        <w:rPr>
          <w:color w:val="auto"/>
        </w:rPr>
        <w:t xml:space="preserve">ng online information sources and appropriate materials; </w:t>
      </w:r>
    </w:p>
    <w:p w:rsidR="00AC1DE1" w:rsidRPr="00AC1DE1" w:rsidRDefault="00AC1DE1" w:rsidP="00AC1DE1">
      <w:pPr>
        <w:pStyle w:val="Default"/>
        <w:ind w:left="720" w:hanging="360"/>
        <w:rPr>
          <w:color w:val="auto"/>
        </w:rPr>
      </w:pPr>
      <w:r w:rsidRPr="00AC1DE1">
        <w:rPr>
          <w:color w:val="auto"/>
        </w:rPr>
        <w:t>4.</w:t>
      </w:r>
      <w:r w:rsidRPr="00AC1DE1">
        <w:rPr>
          <w:rFonts w:ascii="Arial" w:hAnsi="Arial" w:cs="Arial"/>
          <w:color w:val="auto"/>
        </w:rPr>
        <w:t xml:space="preserve"> </w:t>
      </w:r>
      <w:r w:rsidRPr="00AC1DE1">
        <w:rPr>
          <w:color w:val="auto"/>
        </w:rPr>
        <w:t xml:space="preserve">Bullying and cyber-bullying awareness and response, in accordance with the District’s bullying policy; and </w:t>
      </w:r>
    </w:p>
    <w:p w:rsidR="00AC1DE1" w:rsidRPr="00AC1DE1" w:rsidRDefault="00AC1DE1" w:rsidP="00AC1DE1">
      <w:pPr>
        <w:pStyle w:val="Default"/>
        <w:ind w:left="720" w:hanging="360"/>
        <w:rPr>
          <w:color w:val="auto"/>
        </w:rPr>
      </w:pPr>
      <w:r w:rsidRPr="00AC1DE1">
        <w:rPr>
          <w:color w:val="auto"/>
        </w:rPr>
        <w:t>5.</w:t>
      </w:r>
      <w:r w:rsidRPr="00AC1DE1">
        <w:rPr>
          <w:rFonts w:ascii="Arial" w:hAnsi="Arial" w:cs="Arial"/>
          <w:color w:val="auto"/>
        </w:rPr>
        <w:t xml:space="preserve"> </w:t>
      </w:r>
      <w:r w:rsidRPr="00AC1DE1">
        <w:rPr>
          <w:color w:val="auto"/>
        </w:rPr>
        <w:t xml:space="preserve">Instruction of students on appropriate interaction in social networking websites and chat rooms. </w:t>
      </w:r>
    </w:p>
    <w:p w:rsidR="00AC1DE1" w:rsidRPr="00AC1DE1" w:rsidRDefault="00AC1DE1" w:rsidP="00AC1DE1">
      <w:pPr>
        <w:pStyle w:val="Default"/>
        <w:rPr>
          <w:color w:val="auto"/>
        </w:rPr>
      </w:pPr>
    </w:p>
    <w:p w:rsidR="00AC1DE1" w:rsidRPr="00AC1DE1" w:rsidRDefault="00AC1DE1" w:rsidP="00AC1DE1">
      <w:pPr>
        <w:pStyle w:val="Default"/>
        <w:rPr>
          <w:color w:val="auto"/>
        </w:rPr>
      </w:pPr>
      <w:r w:rsidRPr="00AC1DE1">
        <w:rPr>
          <w:color w:val="auto"/>
        </w:rPr>
        <w:t xml:space="preserve">The District may use the following methods of providing instruction on appropriate online behavior and cyber-bullying awareness: </w:t>
      </w:r>
    </w:p>
    <w:p w:rsidR="00AC1DE1" w:rsidRPr="00AC1DE1" w:rsidRDefault="00AC1DE1" w:rsidP="00AC1DE1">
      <w:pPr>
        <w:pStyle w:val="Default"/>
        <w:rPr>
          <w:color w:val="auto"/>
        </w:rPr>
      </w:pPr>
      <w:r w:rsidRPr="00AC1DE1">
        <w:rPr>
          <w:color w:val="auto"/>
        </w:rPr>
        <w:t xml:space="preserve"> </w:t>
      </w:r>
    </w:p>
    <w:p w:rsidR="00AC1DE1" w:rsidRPr="00AC1DE1" w:rsidRDefault="00AC1DE1" w:rsidP="00AC1DE1">
      <w:pPr>
        <w:pStyle w:val="Default"/>
        <w:ind w:left="720" w:hanging="360"/>
        <w:rPr>
          <w:color w:val="auto"/>
        </w:rPr>
      </w:pPr>
      <w:r w:rsidRPr="00AC1DE1">
        <w:rPr>
          <w:color w:val="auto"/>
        </w:rPr>
        <w:t>1.</w:t>
      </w:r>
      <w:r w:rsidRPr="00AC1DE1">
        <w:rPr>
          <w:rFonts w:ascii="Arial" w:hAnsi="Arial" w:cs="Arial"/>
          <w:color w:val="auto"/>
        </w:rPr>
        <w:t xml:space="preserve"> </w:t>
      </w:r>
      <w:r w:rsidRPr="00AC1DE1">
        <w:rPr>
          <w:color w:val="auto"/>
        </w:rPr>
        <w:t xml:space="preserve">Incorporation of instruction into course objectives or daily lessons of planned instruction, as appropriate; </w:t>
      </w:r>
    </w:p>
    <w:p w:rsidR="00AC1DE1" w:rsidRPr="00AC1DE1" w:rsidRDefault="00AC1DE1" w:rsidP="00AC1DE1">
      <w:pPr>
        <w:pStyle w:val="Default"/>
        <w:ind w:left="720" w:hanging="360"/>
        <w:rPr>
          <w:color w:val="auto"/>
        </w:rPr>
      </w:pPr>
      <w:r w:rsidRPr="00AC1DE1">
        <w:rPr>
          <w:color w:val="auto"/>
        </w:rPr>
        <w:t>2.</w:t>
      </w:r>
      <w:r w:rsidRPr="00AC1DE1">
        <w:rPr>
          <w:rFonts w:ascii="Arial" w:hAnsi="Arial" w:cs="Arial"/>
          <w:color w:val="auto"/>
        </w:rPr>
        <w:t xml:space="preserve"> </w:t>
      </w:r>
      <w:r w:rsidRPr="00AC1DE1">
        <w:rPr>
          <w:color w:val="auto"/>
        </w:rPr>
        <w:t xml:space="preserve">Class assemblies or special instruction given in the school library or media center; </w:t>
      </w:r>
    </w:p>
    <w:p w:rsidR="00AC1DE1" w:rsidRPr="00AC1DE1" w:rsidRDefault="00AC1DE1" w:rsidP="00AC1DE1">
      <w:pPr>
        <w:pStyle w:val="Default"/>
        <w:ind w:left="720" w:hanging="360"/>
        <w:rPr>
          <w:color w:val="auto"/>
        </w:rPr>
      </w:pPr>
      <w:r w:rsidRPr="00AC1DE1">
        <w:rPr>
          <w:color w:val="auto"/>
        </w:rPr>
        <w:t>3.</w:t>
      </w:r>
      <w:r w:rsidRPr="00AC1DE1">
        <w:rPr>
          <w:rFonts w:ascii="Arial" w:hAnsi="Arial" w:cs="Arial"/>
          <w:color w:val="auto"/>
        </w:rPr>
        <w:t xml:space="preserve"> </w:t>
      </w:r>
      <w:r w:rsidRPr="00AC1DE1">
        <w:rPr>
          <w:color w:val="auto"/>
        </w:rPr>
        <w:t xml:space="preserve">Special technology courses that are required for students at various grade levels; </w:t>
      </w:r>
    </w:p>
    <w:p w:rsidR="00AC1DE1" w:rsidRPr="00AC1DE1" w:rsidRDefault="00AC1DE1" w:rsidP="00AC1DE1">
      <w:pPr>
        <w:pStyle w:val="Default"/>
        <w:ind w:left="720" w:hanging="360"/>
        <w:rPr>
          <w:color w:val="auto"/>
        </w:rPr>
      </w:pPr>
      <w:r w:rsidRPr="00AC1DE1">
        <w:rPr>
          <w:color w:val="auto"/>
        </w:rPr>
        <w:t>4.</w:t>
      </w:r>
      <w:r w:rsidRPr="00AC1DE1">
        <w:rPr>
          <w:rFonts w:ascii="Arial" w:hAnsi="Arial" w:cs="Arial"/>
          <w:color w:val="auto"/>
        </w:rPr>
        <w:t xml:space="preserve"> </w:t>
      </w:r>
      <w:r w:rsidRPr="00AC1DE1">
        <w:rPr>
          <w:color w:val="auto"/>
        </w:rPr>
        <w:t xml:space="preserve">Online </w:t>
      </w:r>
      <w:r w:rsidR="00C312F1" w:rsidRPr="00561A09">
        <w:rPr>
          <w:color w:val="auto"/>
        </w:rPr>
        <w:t xml:space="preserve">courses </w:t>
      </w:r>
      <w:r w:rsidRPr="00561A09">
        <w:rPr>
          <w:color w:val="auto"/>
        </w:rPr>
        <w:t>r</w:t>
      </w:r>
      <w:r w:rsidRPr="00AC1DE1">
        <w:rPr>
          <w:color w:val="auto"/>
        </w:rPr>
        <w:t xml:space="preserve">equired for students to use a District network account; and </w:t>
      </w:r>
    </w:p>
    <w:p w:rsidR="00AC1DE1" w:rsidRPr="00AC1DE1" w:rsidRDefault="00AC1DE1" w:rsidP="00AC1DE1">
      <w:pPr>
        <w:pStyle w:val="Default"/>
        <w:ind w:left="720" w:hanging="360"/>
        <w:rPr>
          <w:color w:val="auto"/>
        </w:rPr>
      </w:pPr>
      <w:r w:rsidRPr="00AC1DE1">
        <w:rPr>
          <w:color w:val="auto"/>
        </w:rPr>
        <w:t>5.</w:t>
      </w:r>
      <w:r w:rsidRPr="00AC1DE1">
        <w:rPr>
          <w:rFonts w:ascii="Arial" w:hAnsi="Arial" w:cs="Arial"/>
          <w:color w:val="auto"/>
        </w:rPr>
        <w:t xml:space="preserve"> </w:t>
      </w:r>
      <w:r w:rsidRPr="00AC1DE1">
        <w:rPr>
          <w:color w:val="auto"/>
        </w:rPr>
        <w:t xml:space="preserve">Social media. </w:t>
      </w:r>
    </w:p>
    <w:p w:rsidR="00AC1DE1" w:rsidRPr="00AC1DE1" w:rsidRDefault="00AC1DE1" w:rsidP="00AC1DE1">
      <w:pPr>
        <w:pStyle w:val="Default"/>
        <w:rPr>
          <w:color w:val="auto"/>
        </w:rPr>
      </w:pPr>
    </w:p>
    <w:p w:rsidR="00AC1DE1" w:rsidRPr="00AC1DE1" w:rsidRDefault="00AC1DE1" w:rsidP="00AC1DE1">
      <w:pPr>
        <w:pStyle w:val="Default"/>
        <w:rPr>
          <w:color w:val="auto"/>
        </w:rPr>
      </w:pPr>
      <w:r w:rsidRPr="00AC1DE1">
        <w:rPr>
          <w:color w:val="auto"/>
        </w:rPr>
        <w:t xml:space="preserve"> </w:t>
      </w:r>
    </w:p>
    <w:p w:rsidR="00FD7EB1" w:rsidRDefault="00AC1DE1" w:rsidP="00FD7EB1">
      <w:pPr>
        <w:pStyle w:val="Default"/>
        <w:rPr>
          <w:color w:val="auto"/>
        </w:rPr>
      </w:pPr>
      <w:r w:rsidRPr="00AC1DE1">
        <w:rPr>
          <w:color w:val="auto"/>
        </w:rPr>
        <w:t xml:space="preserve">The Internet Safety Coordinator or their designee will also make resources available to parents/guardians on teaching students about acceptable internet use, appropriate online behavior, </w:t>
      </w:r>
      <w:r w:rsidR="00C312F1" w:rsidRPr="00561A09">
        <w:rPr>
          <w:color w:val="auto"/>
        </w:rPr>
        <w:t>online</w:t>
      </w:r>
      <w:r w:rsidR="00C312F1">
        <w:rPr>
          <w:color w:val="auto"/>
        </w:rPr>
        <w:t xml:space="preserve"> </w:t>
      </w:r>
      <w:r w:rsidRPr="00AC1DE1">
        <w:rPr>
          <w:color w:val="auto"/>
        </w:rPr>
        <w:t xml:space="preserve">etiquette, cyber-bullying awareness and response, and appropriate use of social networking websites and chat rooms.  </w:t>
      </w:r>
    </w:p>
    <w:p w:rsidR="00FD7EB1" w:rsidRDefault="00FD7EB1" w:rsidP="00FD7EB1">
      <w:pPr>
        <w:pStyle w:val="Default"/>
        <w:rPr>
          <w:color w:val="auto"/>
        </w:rPr>
      </w:pPr>
    </w:p>
    <w:p w:rsidR="00FD7EB1" w:rsidRDefault="00FD7EB1" w:rsidP="00FD7EB1">
      <w:pPr>
        <w:pStyle w:val="Default"/>
        <w:rPr>
          <w:color w:val="auto"/>
        </w:rPr>
      </w:pPr>
    </w:p>
    <w:p w:rsidR="00FD7EB1" w:rsidRDefault="00AC1DE1" w:rsidP="00FD7EB1">
      <w:pPr>
        <w:pStyle w:val="Default"/>
        <w:rPr>
          <w:color w:val="auto"/>
        </w:rPr>
      </w:pPr>
      <w:r w:rsidRPr="00AC1DE1">
        <w:rPr>
          <w:color w:val="auto"/>
        </w:rPr>
        <w:lastRenderedPageBreak/>
        <w:t xml:space="preserve">Cross Reference: </w:t>
      </w:r>
      <w:r w:rsidR="00FD7EB1">
        <w:rPr>
          <w:color w:val="auto"/>
        </w:rPr>
        <w:tab/>
        <w:t>3270</w:t>
      </w:r>
      <w:r w:rsidR="00FD7EB1">
        <w:rPr>
          <w:color w:val="auto"/>
        </w:rPr>
        <w:tab/>
        <w:t>District Provided Access to Electronic Information, Services, and</w:t>
      </w:r>
    </w:p>
    <w:p w:rsidR="00FD7EB1" w:rsidRDefault="00FD7EB1" w:rsidP="00FD7EB1">
      <w:pPr>
        <w:pStyle w:val="Default"/>
        <w:ind w:left="2160" w:firstLine="720"/>
        <w:rPr>
          <w:color w:val="auto"/>
        </w:rPr>
      </w:pPr>
      <w:r>
        <w:rPr>
          <w:color w:val="auto"/>
        </w:rPr>
        <w:t xml:space="preserve"> Networks</w:t>
      </w:r>
    </w:p>
    <w:p w:rsidR="00AC1DE1" w:rsidRDefault="00FD7EB1" w:rsidP="00FD7EB1">
      <w:pPr>
        <w:pStyle w:val="Default"/>
        <w:ind w:left="1440" w:firstLine="720"/>
        <w:rPr>
          <w:color w:val="auto"/>
        </w:rPr>
      </w:pPr>
      <w:r>
        <w:rPr>
          <w:color w:val="auto"/>
        </w:rPr>
        <w:t>3295P</w:t>
      </w:r>
      <w:r>
        <w:rPr>
          <w:color w:val="auto"/>
        </w:rPr>
        <w:tab/>
      </w:r>
      <w:r w:rsidR="00AC1DE1" w:rsidRPr="00AC1DE1">
        <w:rPr>
          <w:color w:val="auto"/>
        </w:rPr>
        <w:t>Hazing, Harassment, Intimidation, Bul</w:t>
      </w:r>
      <w:r>
        <w:rPr>
          <w:color w:val="auto"/>
        </w:rPr>
        <w:t>lying, Cyber Bullying</w:t>
      </w:r>
    </w:p>
    <w:p w:rsidR="00FD7EB1" w:rsidRDefault="00FD7EB1" w:rsidP="00FD7EB1">
      <w:pPr>
        <w:pStyle w:val="Default"/>
        <w:ind w:left="1440" w:firstLine="720"/>
        <w:rPr>
          <w:color w:val="auto"/>
        </w:rPr>
      </w:pPr>
      <w:r>
        <w:rPr>
          <w:color w:val="auto"/>
        </w:rPr>
        <w:t>5265</w:t>
      </w:r>
      <w:r>
        <w:rPr>
          <w:color w:val="auto"/>
        </w:rPr>
        <w:tab/>
        <w:t xml:space="preserve">Employee Responsibilities Regarding Student Harassment, </w:t>
      </w:r>
    </w:p>
    <w:p w:rsidR="00FD7EB1" w:rsidRPr="00AC1DE1" w:rsidRDefault="00FD7EB1" w:rsidP="00FD7EB1">
      <w:pPr>
        <w:pStyle w:val="Default"/>
        <w:ind w:left="1440" w:firstLine="720"/>
        <w:rPr>
          <w:color w:val="auto"/>
        </w:rPr>
      </w:pPr>
      <w:r>
        <w:rPr>
          <w:color w:val="auto"/>
        </w:rPr>
        <w:tab/>
        <w:t xml:space="preserve"> Intimidation, and Bullying </w:t>
      </w:r>
    </w:p>
    <w:p w:rsidR="00AC1DE1" w:rsidRPr="00AC1DE1" w:rsidRDefault="00AC1DE1" w:rsidP="00AC1DE1">
      <w:pPr>
        <w:pStyle w:val="Default"/>
        <w:rPr>
          <w:color w:val="auto"/>
        </w:rPr>
      </w:pPr>
      <w:r w:rsidRPr="00AC1DE1">
        <w:rPr>
          <w:color w:val="auto"/>
        </w:rPr>
        <w:t xml:space="preserve"> </w:t>
      </w:r>
    </w:p>
    <w:p w:rsidR="00AC1DE1" w:rsidRPr="00AC1DE1" w:rsidRDefault="00AC1DE1" w:rsidP="00AC1DE1">
      <w:pPr>
        <w:pStyle w:val="Default"/>
        <w:ind w:left="3600" w:hanging="3600"/>
        <w:rPr>
          <w:color w:val="auto"/>
        </w:rPr>
      </w:pPr>
      <w:r w:rsidRPr="00AC1DE1">
        <w:rPr>
          <w:color w:val="auto"/>
        </w:rPr>
        <w:t>L</w:t>
      </w:r>
      <w:r w:rsidR="00FD7EB1">
        <w:rPr>
          <w:color w:val="auto"/>
        </w:rPr>
        <w:t>egal Reference:   I.C. § 18-917A</w:t>
      </w:r>
      <w:r w:rsidR="00FD7EB1">
        <w:rPr>
          <w:color w:val="auto"/>
        </w:rPr>
        <w:tab/>
      </w:r>
      <w:r w:rsidRPr="00AC1DE1">
        <w:rPr>
          <w:color w:val="auto"/>
        </w:rPr>
        <w:t xml:space="preserve">Student Harassment – Intimidation – Bullying  </w:t>
      </w:r>
    </w:p>
    <w:p w:rsidR="00AC1DE1" w:rsidRDefault="00AC1DE1" w:rsidP="00AC1DE1">
      <w:pPr>
        <w:pStyle w:val="Default"/>
        <w:ind w:left="3600" w:hanging="3600"/>
        <w:rPr>
          <w:color w:val="auto"/>
        </w:rPr>
      </w:pPr>
      <w:r w:rsidRPr="00AC1DE1">
        <w:rPr>
          <w:color w:val="auto"/>
        </w:rPr>
        <w:t xml:space="preserve">                  </w:t>
      </w:r>
      <w:r w:rsidR="00FD7EB1">
        <w:rPr>
          <w:color w:val="auto"/>
        </w:rPr>
        <w:t xml:space="preserve">             </w:t>
      </w:r>
      <w:r w:rsidRPr="00AC1DE1">
        <w:rPr>
          <w:color w:val="auto"/>
        </w:rPr>
        <w:t xml:space="preserve">P.L. 110-385    </w:t>
      </w:r>
      <w:r w:rsidR="00FD7EB1">
        <w:rPr>
          <w:color w:val="auto"/>
        </w:rPr>
        <w:tab/>
      </w:r>
      <w:r w:rsidRPr="00AC1DE1">
        <w:rPr>
          <w:color w:val="auto"/>
        </w:rPr>
        <w:t xml:space="preserve">Broadband Data Services Improvement Act </w:t>
      </w:r>
    </w:p>
    <w:p w:rsidR="00FD7EB1" w:rsidRPr="00AC1DE1" w:rsidRDefault="00FD7EB1" w:rsidP="00AC1DE1">
      <w:pPr>
        <w:pStyle w:val="Default"/>
        <w:ind w:left="3600" w:hanging="3600"/>
        <w:rPr>
          <w:color w:val="auto"/>
        </w:rPr>
      </w:pPr>
      <w:r>
        <w:rPr>
          <w:color w:val="auto"/>
        </w:rPr>
        <w:t xml:space="preserve">                               Children’s Internet Protection Act (CIPA) 47 U.S.C</w:t>
      </w:r>
      <w:r>
        <w:t>. § 254(h)(5)(B)-(C), 254(1)</w:t>
      </w:r>
    </w:p>
    <w:p w:rsidR="00FD7EB1" w:rsidRDefault="00FD7EB1" w:rsidP="00AC1DE1">
      <w:pPr>
        <w:pStyle w:val="Default"/>
      </w:pPr>
      <w:r>
        <w:rPr>
          <w:color w:val="auto"/>
        </w:rPr>
        <w:t xml:space="preserve">                                Internet Safety 20 U.S.C. </w:t>
      </w:r>
      <w:r>
        <w:t>§ 6777</w:t>
      </w:r>
    </w:p>
    <w:p w:rsidR="002B7C31" w:rsidRDefault="00FD7EB1" w:rsidP="00AC1DE1">
      <w:pPr>
        <w:pStyle w:val="Default"/>
      </w:pPr>
      <w:r>
        <w:t xml:space="preserve">                                Children’</w:t>
      </w:r>
      <w:r w:rsidR="002B7C31">
        <w:t>s Internet Protection Act Certification Required 47 C.F.R. §</w:t>
      </w:r>
    </w:p>
    <w:p w:rsidR="00AC1DE1" w:rsidRPr="00AC1DE1" w:rsidRDefault="002B7C31" w:rsidP="002B7C31">
      <w:pPr>
        <w:pStyle w:val="Default"/>
        <w:ind w:left="720" w:firstLine="720"/>
        <w:rPr>
          <w:color w:val="auto"/>
        </w:rPr>
      </w:pPr>
      <w:r>
        <w:t xml:space="preserve">                                    54.520(c)(1)(i)</w:t>
      </w:r>
      <w:r w:rsidR="00AC1DE1" w:rsidRPr="00AC1DE1">
        <w:rPr>
          <w:color w:val="auto"/>
        </w:rPr>
        <w:t xml:space="preserve">                  </w:t>
      </w:r>
    </w:p>
    <w:p w:rsidR="00AC1DE1" w:rsidRPr="00AC1DE1" w:rsidRDefault="00AC1DE1" w:rsidP="00AC1DE1">
      <w:pPr>
        <w:pStyle w:val="Default"/>
        <w:rPr>
          <w:color w:val="auto"/>
        </w:rPr>
      </w:pPr>
      <w:r w:rsidRPr="00AC1DE1">
        <w:rPr>
          <w:color w:val="auto"/>
        </w:rPr>
        <w:t xml:space="preserve"> </w:t>
      </w:r>
    </w:p>
    <w:p w:rsidR="00AC1DE1" w:rsidRPr="00AC1DE1" w:rsidRDefault="00AC1DE1" w:rsidP="00AC1DE1">
      <w:pPr>
        <w:pStyle w:val="Default"/>
        <w:rPr>
          <w:color w:val="auto"/>
        </w:rPr>
      </w:pPr>
      <w:r w:rsidRPr="00AC1DE1">
        <w:rPr>
          <w:color w:val="auto"/>
          <w:u w:val="single"/>
        </w:rPr>
        <w:t>Policy History:</w:t>
      </w:r>
    </w:p>
    <w:p w:rsidR="00AC1DE1" w:rsidRPr="00AC1DE1" w:rsidRDefault="00AC1DE1" w:rsidP="00AC1DE1">
      <w:pPr>
        <w:pStyle w:val="Default"/>
        <w:rPr>
          <w:color w:val="auto"/>
        </w:rPr>
      </w:pPr>
      <w:r w:rsidRPr="00AC1DE1">
        <w:rPr>
          <w:color w:val="auto"/>
        </w:rPr>
        <w:t>Adopted on: March 23, 2015</w:t>
      </w:r>
    </w:p>
    <w:p w:rsidR="00AC1DE1" w:rsidRDefault="002B7C31" w:rsidP="00AC1DE1">
      <w:pPr>
        <w:pStyle w:val="Default"/>
        <w:rPr>
          <w:color w:val="auto"/>
        </w:rPr>
      </w:pPr>
      <w:r>
        <w:rPr>
          <w:color w:val="auto"/>
        </w:rPr>
        <w:t>Revised on: December 9, 2019</w:t>
      </w:r>
    </w:p>
    <w:p w:rsidR="00C312F1" w:rsidRPr="00AC1DE1" w:rsidRDefault="00C312F1" w:rsidP="00AC1DE1">
      <w:pPr>
        <w:pStyle w:val="Default"/>
        <w:rPr>
          <w:color w:val="auto"/>
        </w:rPr>
      </w:pPr>
      <w:r>
        <w:rPr>
          <w:color w:val="auto"/>
        </w:rPr>
        <w:t xml:space="preserve">Revised on: </w:t>
      </w:r>
      <w:r w:rsidR="00561A09">
        <w:rPr>
          <w:color w:val="auto"/>
        </w:rPr>
        <w:t>August 12</w:t>
      </w:r>
      <w:bookmarkStart w:id="0" w:name="_GoBack"/>
      <w:bookmarkEnd w:id="0"/>
      <w:r>
        <w:rPr>
          <w:color w:val="auto"/>
        </w:rPr>
        <w:t>, 2024</w:t>
      </w:r>
    </w:p>
    <w:p w:rsidR="003751A9" w:rsidRDefault="003751A9"/>
    <w:sectPr w:rsidR="003751A9" w:rsidSect="003751A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8CC" w:rsidRDefault="009D08CC" w:rsidP="00AC1DE1">
      <w:pPr>
        <w:spacing w:after="0" w:line="240" w:lineRule="auto"/>
      </w:pPr>
      <w:r>
        <w:separator/>
      </w:r>
    </w:p>
  </w:endnote>
  <w:endnote w:type="continuationSeparator" w:id="0">
    <w:p w:rsidR="009D08CC" w:rsidRDefault="009D08CC" w:rsidP="00AC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969"/>
      <w:docPartObj>
        <w:docPartGallery w:val="Page Numbers (Bottom of Page)"/>
        <w:docPartUnique/>
      </w:docPartObj>
    </w:sdtPr>
    <w:sdtEndPr/>
    <w:sdtContent>
      <w:p w:rsidR="00AC1DE1" w:rsidRDefault="00AC1DE1">
        <w:pPr>
          <w:pStyle w:val="Footer"/>
          <w:jc w:val="center"/>
        </w:pPr>
        <w:r w:rsidRPr="00AC1DE1">
          <w:rPr>
            <w:rFonts w:ascii="Times New Roman" w:hAnsi="Times New Roman" w:cs="Times New Roman"/>
          </w:rPr>
          <w:t>2335-</w:t>
        </w:r>
        <w:r w:rsidRPr="00AC1DE1">
          <w:rPr>
            <w:rFonts w:ascii="Times New Roman" w:hAnsi="Times New Roman" w:cs="Times New Roman"/>
          </w:rPr>
          <w:fldChar w:fldCharType="begin"/>
        </w:r>
        <w:r w:rsidRPr="00AC1DE1">
          <w:rPr>
            <w:rFonts w:ascii="Times New Roman" w:hAnsi="Times New Roman" w:cs="Times New Roman"/>
          </w:rPr>
          <w:instrText xml:space="preserve"> PAGE   \* MERGEFORMAT </w:instrText>
        </w:r>
        <w:r w:rsidRPr="00AC1DE1">
          <w:rPr>
            <w:rFonts w:ascii="Times New Roman" w:hAnsi="Times New Roman" w:cs="Times New Roman"/>
          </w:rPr>
          <w:fldChar w:fldCharType="separate"/>
        </w:r>
        <w:r w:rsidR="00561A09">
          <w:rPr>
            <w:rFonts w:ascii="Times New Roman" w:hAnsi="Times New Roman" w:cs="Times New Roman"/>
            <w:noProof/>
          </w:rPr>
          <w:t>2</w:t>
        </w:r>
        <w:r w:rsidRPr="00AC1DE1">
          <w:rPr>
            <w:rFonts w:ascii="Times New Roman" w:hAnsi="Times New Roman" w:cs="Times New Roman"/>
          </w:rPr>
          <w:fldChar w:fldCharType="end"/>
        </w:r>
      </w:p>
    </w:sdtContent>
  </w:sdt>
  <w:p w:rsidR="00AC1DE1" w:rsidRDefault="00AC1D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8CC" w:rsidRDefault="009D08CC" w:rsidP="00AC1DE1">
      <w:pPr>
        <w:spacing w:after="0" w:line="240" w:lineRule="auto"/>
      </w:pPr>
      <w:r>
        <w:separator/>
      </w:r>
    </w:p>
  </w:footnote>
  <w:footnote w:type="continuationSeparator" w:id="0">
    <w:p w:rsidR="009D08CC" w:rsidRDefault="009D08CC" w:rsidP="00AC1D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E1"/>
    <w:rsid w:val="002B7C31"/>
    <w:rsid w:val="003751A9"/>
    <w:rsid w:val="003F0834"/>
    <w:rsid w:val="00561A09"/>
    <w:rsid w:val="00762A1B"/>
    <w:rsid w:val="008B7B80"/>
    <w:rsid w:val="009D08CC"/>
    <w:rsid w:val="00AC1DE1"/>
    <w:rsid w:val="00C312F1"/>
    <w:rsid w:val="00DC33A2"/>
    <w:rsid w:val="00F46110"/>
    <w:rsid w:val="00FD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B4A8"/>
  <w15:docId w15:val="{903DE1C9-B2CA-4DA2-91E7-88F994C3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1DE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AC1D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1DE1"/>
  </w:style>
  <w:style w:type="paragraph" w:styleId="Footer">
    <w:name w:val="footer"/>
    <w:basedOn w:val="Normal"/>
    <w:link w:val="FooterChar"/>
    <w:uiPriority w:val="99"/>
    <w:unhideWhenUsed/>
    <w:rsid w:val="00AC1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DE1"/>
  </w:style>
  <w:style w:type="paragraph" w:styleId="BalloonText">
    <w:name w:val="Balloon Text"/>
    <w:basedOn w:val="Normal"/>
    <w:link w:val="BalloonTextChar"/>
    <w:uiPriority w:val="99"/>
    <w:semiHidden/>
    <w:unhideWhenUsed/>
    <w:rsid w:val="002B7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Teresa Kraczek</cp:lastModifiedBy>
  <cp:revision>2</cp:revision>
  <cp:lastPrinted>2019-12-17T20:37:00Z</cp:lastPrinted>
  <dcterms:created xsi:type="dcterms:W3CDTF">2024-09-10T22:34:00Z</dcterms:created>
  <dcterms:modified xsi:type="dcterms:W3CDTF">2024-09-10T22:34:00Z</dcterms:modified>
</cp:coreProperties>
</file>