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4" w:rsidRPr="00C8651E" w:rsidRDefault="00C943F4" w:rsidP="00C943F4">
      <w:pPr>
        <w:pStyle w:val="Default"/>
        <w:pageBreakBefore/>
        <w:rPr>
          <w:color w:val="auto"/>
        </w:rPr>
      </w:pPr>
      <w:r w:rsidRPr="00C8651E">
        <w:rPr>
          <w:b/>
          <w:bCs/>
          <w:color w:val="auto"/>
        </w:rPr>
        <w:t xml:space="preserve">Mackay School District No. 182 </w:t>
      </w:r>
    </w:p>
    <w:p w:rsidR="00C943F4" w:rsidRPr="00C8651E" w:rsidRDefault="00C943F4" w:rsidP="00C943F4">
      <w:pPr>
        <w:pStyle w:val="Default"/>
        <w:rPr>
          <w:color w:val="auto"/>
        </w:rPr>
      </w:pPr>
      <w:r w:rsidRPr="00C8651E">
        <w:rPr>
          <w:b/>
          <w:bCs/>
          <w:color w:val="auto"/>
        </w:rPr>
        <w:t xml:space="preserve"> </w:t>
      </w:r>
    </w:p>
    <w:p w:rsidR="00C943F4" w:rsidRPr="00C8651E" w:rsidRDefault="00C943F4" w:rsidP="00C943F4">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2390</w:t>
      </w:r>
      <w:r w:rsidRPr="00C8651E">
        <w:rPr>
          <w:color w:val="auto"/>
        </w:rPr>
        <w:t xml:space="preserve"> </w:t>
      </w:r>
    </w:p>
    <w:p w:rsidR="00C943F4" w:rsidRPr="00C8651E" w:rsidRDefault="00C943F4" w:rsidP="00C943F4">
      <w:pPr>
        <w:pStyle w:val="Default"/>
        <w:rPr>
          <w:color w:val="auto"/>
        </w:rPr>
      </w:pPr>
      <w:r w:rsidRPr="00C8651E">
        <w:rPr>
          <w:color w:val="auto"/>
        </w:rPr>
        <w:t xml:space="preserve"> </w:t>
      </w:r>
    </w:p>
    <w:p w:rsidR="00C943F4" w:rsidRPr="00C8651E" w:rsidRDefault="00C943F4" w:rsidP="00C943F4">
      <w:pPr>
        <w:pStyle w:val="Default"/>
        <w:rPr>
          <w:color w:val="auto"/>
        </w:rPr>
      </w:pPr>
      <w:r w:rsidRPr="00C8651E">
        <w:rPr>
          <w:color w:val="auto"/>
          <w:u w:val="single"/>
        </w:rPr>
        <w:t xml:space="preserve">Education </w:t>
      </w:r>
      <w:r w:rsidR="004C49A6">
        <w:rPr>
          <w:color w:val="auto"/>
          <w:u w:val="single"/>
        </w:rPr>
        <w:t>of Migratory Children</w:t>
      </w:r>
      <w:r w:rsidRPr="00C8651E">
        <w:rPr>
          <w:color w:val="auto"/>
          <w:u w:val="single"/>
        </w:rPr>
        <w:t xml:space="preserve"> </w:t>
      </w:r>
    </w:p>
    <w:p w:rsidR="00C943F4" w:rsidRPr="00C8651E" w:rsidRDefault="00C943F4" w:rsidP="00C943F4">
      <w:pPr>
        <w:pStyle w:val="Default"/>
        <w:rPr>
          <w:color w:val="auto"/>
        </w:rPr>
      </w:pPr>
      <w:r w:rsidRPr="00C8651E">
        <w:rPr>
          <w:color w:val="auto"/>
        </w:rPr>
        <w:t xml:space="preserve"> </w:t>
      </w:r>
    </w:p>
    <w:p w:rsidR="00C943F4" w:rsidRPr="00C943F4" w:rsidRDefault="00C943F4" w:rsidP="00C943F4">
      <w:pPr>
        <w:pStyle w:val="Default"/>
        <w:rPr>
          <w:color w:val="auto"/>
          <w:u w:val="single"/>
        </w:rPr>
      </w:pPr>
      <w:r w:rsidRPr="00C943F4">
        <w:rPr>
          <w:color w:val="auto"/>
          <w:u w:val="single"/>
        </w:rPr>
        <w:t xml:space="preserve">Purpose </w:t>
      </w:r>
    </w:p>
    <w:p w:rsidR="00C943F4" w:rsidRPr="00C8651E" w:rsidRDefault="00C943F4" w:rsidP="00C943F4">
      <w:pPr>
        <w:pStyle w:val="Default"/>
        <w:rPr>
          <w:color w:val="auto"/>
        </w:rPr>
      </w:pPr>
      <w:r w:rsidRPr="00C8651E">
        <w:rPr>
          <w:color w:val="auto"/>
        </w:rPr>
        <w:t xml:space="preserve"> </w:t>
      </w:r>
    </w:p>
    <w:p w:rsidR="00C943F4" w:rsidRDefault="004C49A6" w:rsidP="00C943F4">
      <w:pPr>
        <w:pStyle w:val="Default"/>
        <w:rPr>
          <w:color w:val="auto"/>
        </w:rPr>
      </w:pPr>
      <w:r>
        <w:rPr>
          <w:color w:val="auto"/>
        </w:rPr>
        <w:t>In accordance with the Board’s philosophy to provide a quality educational program to all students, the District shall provide an appropriate planned instructional program for all students who qualify as Migratory Children under applicable provisions of state and federal law and/or this Policy. The purposes of the program are:</w:t>
      </w:r>
    </w:p>
    <w:p w:rsidR="004C49A6" w:rsidRDefault="004C49A6" w:rsidP="00C943F4">
      <w:pPr>
        <w:pStyle w:val="Default"/>
        <w:rPr>
          <w:color w:val="auto"/>
        </w:rPr>
      </w:pPr>
    </w:p>
    <w:p w:rsidR="004C49A6" w:rsidRDefault="004C49A6" w:rsidP="004C49A6">
      <w:pPr>
        <w:pStyle w:val="Default"/>
        <w:numPr>
          <w:ilvl w:val="0"/>
          <w:numId w:val="1"/>
        </w:numPr>
        <w:rPr>
          <w:color w:val="auto"/>
        </w:rPr>
      </w:pPr>
      <w:r>
        <w:rPr>
          <w:color w:val="auto"/>
        </w:rPr>
        <w:t>To implement a high-quality and comprehensive educational program and to provide educational services during the school year and, as applicable, during summer or intersession periods, that addresses the unique educational needs of migratory children.</w:t>
      </w:r>
    </w:p>
    <w:p w:rsidR="004C49A6" w:rsidRDefault="004C49A6" w:rsidP="004C49A6">
      <w:pPr>
        <w:pStyle w:val="Default"/>
        <w:ind w:left="720"/>
        <w:rPr>
          <w:color w:val="auto"/>
        </w:rPr>
      </w:pPr>
    </w:p>
    <w:p w:rsidR="004C49A6" w:rsidRDefault="004C49A6" w:rsidP="004C49A6">
      <w:pPr>
        <w:pStyle w:val="Default"/>
        <w:numPr>
          <w:ilvl w:val="0"/>
          <w:numId w:val="1"/>
        </w:numPr>
        <w:rPr>
          <w:color w:val="auto"/>
        </w:rPr>
      </w:pPr>
      <w:r>
        <w:rPr>
          <w:color w:val="auto"/>
        </w:rPr>
        <w:t>To ensure that migratory children who move around the United States are not penalized in any manner by disparities among the states in curriculum, graduation requirements, and challenging state academic standards.</w:t>
      </w:r>
    </w:p>
    <w:p w:rsidR="004C49A6" w:rsidRDefault="004C49A6" w:rsidP="004C49A6">
      <w:pPr>
        <w:pStyle w:val="Default"/>
        <w:ind w:left="720"/>
        <w:rPr>
          <w:color w:val="auto"/>
        </w:rPr>
      </w:pPr>
    </w:p>
    <w:p w:rsidR="004C49A6" w:rsidRDefault="004C49A6" w:rsidP="004C49A6">
      <w:pPr>
        <w:pStyle w:val="Default"/>
        <w:numPr>
          <w:ilvl w:val="0"/>
          <w:numId w:val="1"/>
        </w:numPr>
        <w:rPr>
          <w:color w:val="auto"/>
        </w:rPr>
      </w:pPr>
      <w:r>
        <w:rPr>
          <w:color w:val="auto"/>
        </w:rPr>
        <w:t>To ensure that migratory children receive full and appropriate opportunities to meet the same challenging state academic standards that all children are expected to meet.</w:t>
      </w:r>
    </w:p>
    <w:p w:rsidR="004C49A6" w:rsidRDefault="004C49A6" w:rsidP="004C49A6">
      <w:pPr>
        <w:pStyle w:val="Default"/>
        <w:ind w:left="720"/>
        <w:rPr>
          <w:color w:val="auto"/>
        </w:rPr>
      </w:pPr>
    </w:p>
    <w:p w:rsidR="004C49A6" w:rsidRPr="004C49A6" w:rsidRDefault="004C49A6" w:rsidP="004C49A6">
      <w:pPr>
        <w:pStyle w:val="Default"/>
        <w:numPr>
          <w:ilvl w:val="0"/>
          <w:numId w:val="1"/>
        </w:numPr>
        <w:rPr>
          <w:color w:val="auto"/>
        </w:rPr>
      </w:pPr>
      <w:r w:rsidRPr="004C49A6">
        <w:rPr>
          <w:color w:val="auto"/>
        </w:rPr>
        <w:t>To help migratory children overcome educational disruption, cultural and language barriers, social isolation, various health-related problems, and other factors that inhibits their ability to succeed in school.</w:t>
      </w:r>
    </w:p>
    <w:p w:rsidR="004C49A6" w:rsidRPr="00C8651E" w:rsidRDefault="004C49A6" w:rsidP="004C49A6">
      <w:pPr>
        <w:pStyle w:val="Default"/>
        <w:rPr>
          <w:color w:val="auto"/>
        </w:rPr>
      </w:pPr>
    </w:p>
    <w:p w:rsidR="00C943F4" w:rsidRPr="00C943F4" w:rsidRDefault="00C943F4" w:rsidP="00C943F4">
      <w:pPr>
        <w:pStyle w:val="Default"/>
        <w:rPr>
          <w:color w:val="auto"/>
          <w:u w:val="single"/>
        </w:rPr>
      </w:pPr>
      <w:r w:rsidRPr="00C943F4">
        <w:rPr>
          <w:color w:val="auto"/>
          <w:u w:val="single"/>
        </w:rPr>
        <w:t xml:space="preserve">Eligibility </w:t>
      </w:r>
    </w:p>
    <w:p w:rsidR="00C943F4" w:rsidRPr="00C8651E" w:rsidRDefault="00C943F4" w:rsidP="00C943F4">
      <w:pPr>
        <w:pStyle w:val="Default"/>
        <w:rPr>
          <w:color w:val="auto"/>
        </w:rPr>
      </w:pPr>
      <w:r w:rsidRPr="00C8651E">
        <w:rPr>
          <w:b/>
          <w:bCs/>
          <w:color w:val="auto"/>
        </w:rPr>
        <w:t xml:space="preserve"> </w:t>
      </w:r>
    </w:p>
    <w:p w:rsidR="004C49A6" w:rsidRDefault="00C943F4" w:rsidP="00C943F4">
      <w:pPr>
        <w:pStyle w:val="Default"/>
        <w:rPr>
          <w:color w:val="auto"/>
        </w:rPr>
      </w:pPr>
      <w:r w:rsidRPr="00C8651E">
        <w:rPr>
          <w:color w:val="auto"/>
        </w:rPr>
        <w:t xml:space="preserve">Children are eligible to receive </w:t>
      </w:r>
      <w:r w:rsidR="004C49A6">
        <w:rPr>
          <w:color w:val="auto"/>
        </w:rPr>
        <w:t>District</w:t>
      </w:r>
      <w:r w:rsidRPr="00C8651E">
        <w:rPr>
          <w:color w:val="auto"/>
        </w:rPr>
        <w:t xml:space="preserve"> services if they </w:t>
      </w:r>
      <w:r w:rsidR="004C49A6">
        <w:rPr>
          <w:color w:val="auto"/>
        </w:rPr>
        <w:t>fall within</w:t>
      </w:r>
      <w:r w:rsidRPr="00C8651E">
        <w:rPr>
          <w:color w:val="auto"/>
        </w:rPr>
        <w:t xml:space="preserve"> the definition</w:t>
      </w:r>
      <w:r w:rsidR="004C49A6">
        <w:rPr>
          <w:color w:val="auto"/>
        </w:rPr>
        <w:t>s below:</w:t>
      </w:r>
    </w:p>
    <w:p w:rsidR="004C49A6" w:rsidRDefault="004C49A6" w:rsidP="00C943F4">
      <w:pPr>
        <w:pStyle w:val="Default"/>
        <w:rPr>
          <w:color w:val="auto"/>
        </w:rPr>
      </w:pPr>
    </w:p>
    <w:p w:rsidR="00C943F4" w:rsidRDefault="004C49A6" w:rsidP="004C49A6">
      <w:pPr>
        <w:pStyle w:val="Default"/>
        <w:numPr>
          <w:ilvl w:val="0"/>
          <w:numId w:val="2"/>
        </w:numPr>
        <w:rPr>
          <w:color w:val="auto"/>
        </w:rPr>
      </w:pPr>
      <w:r>
        <w:rPr>
          <w:color w:val="auto"/>
        </w:rPr>
        <w:t>Migratory child: The term “migratory child” means a child or youth who made a qualifying move in the preceding 36 months:</w:t>
      </w:r>
    </w:p>
    <w:p w:rsidR="009D3A07" w:rsidRDefault="009D3A07" w:rsidP="009D3A07">
      <w:pPr>
        <w:pStyle w:val="Default"/>
        <w:ind w:left="825"/>
        <w:rPr>
          <w:color w:val="auto"/>
        </w:rPr>
      </w:pPr>
    </w:p>
    <w:p w:rsidR="004C49A6" w:rsidRDefault="004C49A6" w:rsidP="004C49A6">
      <w:pPr>
        <w:pStyle w:val="Default"/>
        <w:ind w:left="1185"/>
        <w:rPr>
          <w:color w:val="auto"/>
        </w:rPr>
      </w:pPr>
      <w:r>
        <w:rPr>
          <w:color w:val="auto"/>
        </w:rPr>
        <w:t xml:space="preserve">A. </w:t>
      </w:r>
      <w:r w:rsidR="004D2EFA">
        <w:rPr>
          <w:color w:val="auto"/>
        </w:rPr>
        <w:t xml:space="preserve"> </w:t>
      </w:r>
      <w:r>
        <w:rPr>
          <w:color w:val="auto"/>
        </w:rPr>
        <w:t xml:space="preserve">As a migratory agricultural worker or a migratory fisher; or </w:t>
      </w:r>
    </w:p>
    <w:p w:rsidR="009D3A07" w:rsidRDefault="009D3A07" w:rsidP="004C49A6">
      <w:pPr>
        <w:pStyle w:val="Default"/>
        <w:ind w:left="1185"/>
        <w:rPr>
          <w:color w:val="auto"/>
        </w:rPr>
      </w:pPr>
      <w:r>
        <w:rPr>
          <w:color w:val="auto"/>
        </w:rPr>
        <w:t xml:space="preserve">B. </w:t>
      </w:r>
      <w:r w:rsidR="004D2EFA">
        <w:rPr>
          <w:color w:val="auto"/>
        </w:rPr>
        <w:t xml:space="preserve"> </w:t>
      </w:r>
      <w:r>
        <w:rPr>
          <w:color w:val="auto"/>
        </w:rPr>
        <w:t>With, or to join, a parent or spouse who is a migratory agricultural worker or a</w:t>
      </w:r>
    </w:p>
    <w:p w:rsidR="009D3A07" w:rsidRDefault="009D3A07" w:rsidP="004C49A6">
      <w:pPr>
        <w:pStyle w:val="Default"/>
        <w:ind w:left="1185"/>
        <w:rPr>
          <w:color w:val="auto"/>
        </w:rPr>
      </w:pPr>
      <w:r>
        <w:rPr>
          <w:color w:val="auto"/>
        </w:rPr>
        <w:t xml:space="preserve">     </w:t>
      </w:r>
      <w:r w:rsidR="004D2EFA">
        <w:rPr>
          <w:color w:val="auto"/>
        </w:rPr>
        <w:t xml:space="preserve"> </w:t>
      </w:r>
      <w:r>
        <w:rPr>
          <w:color w:val="auto"/>
        </w:rPr>
        <w:t>migratory fisher.</w:t>
      </w:r>
    </w:p>
    <w:p w:rsidR="005408FB" w:rsidRDefault="005408FB" w:rsidP="004C49A6">
      <w:pPr>
        <w:pStyle w:val="Default"/>
        <w:ind w:left="1185"/>
        <w:rPr>
          <w:color w:val="auto"/>
        </w:rPr>
      </w:pPr>
    </w:p>
    <w:p w:rsidR="005408FB" w:rsidRPr="003046CB" w:rsidRDefault="009D3A07" w:rsidP="003046CB">
      <w:pPr>
        <w:pStyle w:val="Default"/>
        <w:numPr>
          <w:ilvl w:val="0"/>
          <w:numId w:val="2"/>
        </w:numPr>
        <w:rPr>
          <w:color w:val="auto"/>
        </w:rPr>
      </w:pPr>
      <w:r w:rsidRPr="003046CB">
        <w:rPr>
          <w:color w:val="auto"/>
        </w:rPr>
        <w:t>Migratory fisher: The term “migratory fisher” means an individual who made a qualifying move in the preceding 36 months and, after doing so, engaged in new temporary or seasonal employment or personal subsistence in fishing. If the individual did not engage in such new employment soon after the move, then the individual may be cons</w:t>
      </w:r>
      <w:r w:rsidR="005408FB" w:rsidRPr="003046CB">
        <w:rPr>
          <w:color w:val="auto"/>
        </w:rPr>
        <w:t>i</w:t>
      </w:r>
      <w:r w:rsidRPr="003046CB">
        <w:rPr>
          <w:color w:val="auto"/>
        </w:rPr>
        <w:t>dered a migratory fisher if the individual actively sought such new employment and has a recent history of moves for</w:t>
      </w:r>
      <w:r w:rsidR="005408FB" w:rsidRPr="003046CB">
        <w:rPr>
          <w:color w:val="auto"/>
        </w:rPr>
        <w:t xml:space="preserve"> temporary or seasonal fishing employment.</w:t>
      </w:r>
    </w:p>
    <w:p w:rsidR="00A3339F" w:rsidRDefault="00A3339F" w:rsidP="00A3339F">
      <w:pPr>
        <w:pStyle w:val="Default"/>
        <w:ind w:left="465"/>
        <w:rPr>
          <w:color w:val="auto"/>
        </w:rPr>
      </w:pPr>
    </w:p>
    <w:p w:rsidR="005408FB" w:rsidRDefault="005408FB" w:rsidP="009D3A07">
      <w:pPr>
        <w:pStyle w:val="Default"/>
        <w:numPr>
          <w:ilvl w:val="0"/>
          <w:numId w:val="2"/>
        </w:numPr>
        <w:rPr>
          <w:color w:val="auto"/>
        </w:rPr>
      </w:pPr>
      <w:r>
        <w:rPr>
          <w:color w:val="auto"/>
        </w:rPr>
        <w:lastRenderedPageBreak/>
        <w:t>Qualifying move: The term “qualifying move” means a move due to economic necessity:</w:t>
      </w:r>
    </w:p>
    <w:p w:rsidR="005408FB" w:rsidRDefault="005408FB" w:rsidP="005408FB">
      <w:pPr>
        <w:pStyle w:val="Default"/>
        <w:ind w:left="825"/>
        <w:rPr>
          <w:color w:val="auto"/>
        </w:rPr>
      </w:pPr>
    </w:p>
    <w:p w:rsidR="009D3A07" w:rsidRDefault="005408FB" w:rsidP="005408FB">
      <w:pPr>
        <w:pStyle w:val="Default"/>
        <w:ind w:left="1185"/>
        <w:rPr>
          <w:color w:val="auto"/>
        </w:rPr>
      </w:pPr>
      <w:r>
        <w:rPr>
          <w:color w:val="auto"/>
        </w:rPr>
        <w:t xml:space="preserve">A. From one residence to another residence; and </w:t>
      </w:r>
    </w:p>
    <w:p w:rsidR="005408FB" w:rsidRDefault="005408FB" w:rsidP="005408FB">
      <w:pPr>
        <w:pStyle w:val="Default"/>
        <w:ind w:left="1185"/>
        <w:rPr>
          <w:color w:val="auto"/>
        </w:rPr>
      </w:pPr>
      <w:r>
        <w:rPr>
          <w:color w:val="auto"/>
        </w:rPr>
        <w:t>B. From one school district to another school district, except:</w:t>
      </w:r>
    </w:p>
    <w:p w:rsidR="005408FB" w:rsidRDefault="005408FB" w:rsidP="005408FB">
      <w:pPr>
        <w:pStyle w:val="Default"/>
        <w:ind w:left="1185"/>
        <w:rPr>
          <w:color w:val="auto"/>
        </w:rPr>
      </w:pPr>
    </w:p>
    <w:p w:rsidR="005408FB" w:rsidRDefault="005408FB" w:rsidP="005408FB">
      <w:pPr>
        <w:pStyle w:val="Default"/>
        <w:ind w:left="1545"/>
        <w:rPr>
          <w:color w:val="auto"/>
        </w:rPr>
      </w:pPr>
      <w:r>
        <w:rPr>
          <w:color w:val="auto"/>
        </w:rPr>
        <w:t>i. In the case of a state that is comprised of a single school district, wherein a</w:t>
      </w:r>
    </w:p>
    <w:p w:rsidR="005408FB" w:rsidRDefault="005408FB" w:rsidP="005408FB">
      <w:pPr>
        <w:pStyle w:val="Default"/>
        <w:ind w:left="1545"/>
        <w:rPr>
          <w:color w:val="auto"/>
        </w:rPr>
      </w:pPr>
      <w:r>
        <w:rPr>
          <w:color w:val="auto"/>
        </w:rPr>
        <w:t xml:space="preserve">   qualifying move is from one administrative area to another within such district;</w:t>
      </w:r>
    </w:p>
    <w:p w:rsidR="005408FB" w:rsidRDefault="005408FB" w:rsidP="005408FB">
      <w:pPr>
        <w:pStyle w:val="Default"/>
        <w:ind w:left="1545"/>
        <w:rPr>
          <w:color w:val="auto"/>
        </w:rPr>
      </w:pPr>
      <w:r>
        <w:rPr>
          <w:color w:val="auto"/>
        </w:rPr>
        <w:t xml:space="preserve">   or</w:t>
      </w:r>
    </w:p>
    <w:p w:rsidR="005408FB" w:rsidRDefault="005408FB" w:rsidP="005408FB">
      <w:pPr>
        <w:pStyle w:val="Default"/>
        <w:ind w:left="1545"/>
        <w:rPr>
          <w:color w:val="auto"/>
        </w:rPr>
      </w:pPr>
    </w:p>
    <w:p w:rsidR="005408FB" w:rsidRDefault="005408FB" w:rsidP="005408FB">
      <w:pPr>
        <w:pStyle w:val="Default"/>
        <w:ind w:left="1545"/>
        <w:rPr>
          <w:color w:val="auto"/>
        </w:rPr>
      </w:pPr>
      <w:r>
        <w:rPr>
          <w:color w:val="auto"/>
        </w:rPr>
        <w:t>ii. In the case of a school district of more than 15,000 square miles, wherein a</w:t>
      </w:r>
    </w:p>
    <w:p w:rsidR="005408FB" w:rsidRDefault="005408FB" w:rsidP="005408FB">
      <w:pPr>
        <w:pStyle w:val="Default"/>
        <w:ind w:left="1545"/>
        <w:rPr>
          <w:color w:val="auto"/>
        </w:rPr>
      </w:pPr>
      <w:r>
        <w:rPr>
          <w:color w:val="auto"/>
        </w:rPr>
        <w:t xml:space="preserve">    qualifying move is a distance of 20 miles or more to a temporary residence.</w:t>
      </w:r>
    </w:p>
    <w:p w:rsidR="005408FB" w:rsidRPr="00C8651E" w:rsidRDefault="005408FB" w:rsidP="005408FB">
      <w:pPr>
        <w:pStyle w:val="Default"/>
        <w:ind w:left="1185"/>
        <w:rPr>
          <w:color w:val="auto"/>
        </w:rPr>
      </w:pPr>
    </w:p>
    <w:p w:rsidR="005408FB" w:rsidRDefault="005408FB" w:rsidP="005408FB">
      <w:pPr>
        <w:pStyle w:val="Default"/>
        <w:ind w:left="1125"/>
        <w:rPr>
          <w:color w:val="auto"/>
        </w:rPr>
      </w:pPr>
      <w:r>
        <w:rPr>
          <w:color w:val="auto"/>
        </w:rPr>
        <w:t>C. The term “in order to obtain”, when used to describe why a worker moved, means</w:t>
      </w:r>
    </w:p>
    <w:p w:rsidR="005408FB" w:rsidRDefault="005408FB" w:rsidP="005408FB">
      <w:pPr>
        <w:pStyle w:val="Default"/>
        <w:ind w:left="1125"/>
        <w:rPr>
          <w:color w:val="auto"/>
        </w:rPr>
      </w:pPr>
      <w:r>
        <w:rPr>
          <w:color w:val="auto"/>
        </w:rPr>
        <w:t xml:space="preserve">     that one of the purposes of the move is to seek or obtain qualifying temporary</w:t>
      </w:r>
    </w:p>
    <w:p w:rsidR="00C943F4" w:rsidRDefault="005408FB" w:rsidP="005408FB">
      <w:pPr>
        <w:pStyle w:val="Default"/>
        <w:ind w:left="1125"/>
        <w:rPr>
          <w:color w:val="auto"/>
        </w:rPr>
      </w:pPr>
      <w:r>
        <w:rPr>
          <w:color w:val="auto"/>
        </w:rPr>
        <w:t xml:space="preserve">     employment or seasonal employment in agricultural work and fishing work.</w:t>
      </w:r>
    </w:p>
    <w:p w:rsidR="005408FB" w:rsidRDefault="005408FB" w:rsidP="005408FB">
      <w:pPr>
        <w:pStyle w:val="Default"/>
        <w:ind w:left="1125"/>
        <w:rPr>
          <w:color w:val="auto"/>
        </w:rPr>
      </w:pPr>
    </w:p>
    <w:p w:rsidR="003046CB" w:rsidRDefault="005408FB" w:rsidP="005408FB">
      <w:pPr>
        <w:pStyle w:val="Default"/>
        <w:ind w:left="1125"/>
        <w:rPr>
          <w:color w:val="auto"/>
        </w:rPr>
      </w:pPr>
      <w:r>
        <w:rPr>
          <w:color w:val="auto"/>
        </w:rPr>
        <w:t>D. If a worker states that a purpose of the move was to seek any type of employment,</w:t>
      </w:r>
    </w:p>
    <w:p w:rsidR="003046CB" w:rsidRDefault="003046CB" w:rsidP="005408FB">
      <w:pPr>
        <w:pStyle w:val="Default"/>
        <w:ind w:left="1125"/>
        <w:rPr>
          <w:color w:val="auto"/>
        </w:rPr>
      </w:pPr>
      <w:r>
        <w:rPr>
          <w:color w:val="auto"/>
        </w:rPr>
        <w:t xml:space="preserve">     </w:t>
      </w:r>
      <w:r w:rsidR="005408FB">
        <w:rPr>
          <w:color w:val="auto"/>
        </w:rPr>
        <w:t xml:space="preserve">i.e., the worker moved with no specific intent to find work in a particular job, the </w:t>
      </w:r>
      <w:r>
        <w:rPr>
          <w:color w:val="auto"/>
        </w:rPr>
        <w:t xml:space="preserve">  </w:t>
      </w:r>
    </w:p>
    <w:p w:rsidR="003046CB" w:rsidRDefault="003046CB" w:rsidP="005408FB">
      <w:pPr>
        <w:pStyle w:val="Default"/>
        <w:ind w:left="1125"/>
        <w:rPr>
          <w:color w:val="auto"/>
        </w:rPr>
      </w:pPr>
      <w:r>
        <w:rPr>
          <w:color w:val="auto"/>
        </w:rPr>
        <w:t xml:space="preserve">     </w:t>
      </w:r>
      <w:r w:rsidR="005408FB">
        <w:rPr>
          <w:color w:val="auto"/>
        </w:rPr>
        <w:t>worker is deemed to have moved with a purpose of obtaining qualifying work if</w:t>
      </w:r>
    </w:p>
    <w:p w:rsidR="005408FB" w:rsidRDefault="003046CB" w:rsidP="005408FB">
      <w:pPr>
        <w:pStyle w:val="Default"/>
        <w:ind w:left="1125"/>
        <w:rPr>
          <w:color w:val="auto"/>
        </w:rPr>
      </w:pPr>
      <w:r>
        <w:rPr>
          <w:color w:val="auto"/>
        </w:rPr>
        <w:t xml:space="preserve">    </w:t>
      </w:r>
      <w:r w:rsidR="005408FB">
        <w:rPr>
          <w:color w:val="auto"/>
        </w:rPr>
        <w:t xml:space="preserve"> the worker obtains qualifying work soon after the move.</w:t>
      </w:r>
    </w:p>
    <w:p w:rsidR="005408FB" w:rsidRDefault="005408FB" w:rsidP="005408FB">
      <w:pPr>
        <w:pStyle w:val="Default"/>
        <w:ind w:left="1125"/>
        <w:rPr>
          <w:color w:val="auto"/>
        </w:rPr>
      </w:pPr>
    </w:p>
    <w:p w:rsidR="009350B1" w:rsidRDefault="005408FB" w:rsidP="005408FB">
      <w:pPr>
        <w:pStyle w:val="Default"/>
        <w:ind w:left="1125"/>
        <w:rPr>
          <w:color w:val="auto"/>
        </w:rPr>
      </w:pPr>
      <w:r>
        <w:rPr>
          <w:color w:val="auto"/>
        </w:rPr>
        <w:t>E. Notwithstanding item D above, a worker who did not obtain qualifying work soon</w:t>
      </w:r>
    </w:p>
    <w:p w:rsidR="009350B1" w:rsidRDefault="009350B1" w:rsidP="005408FB">
      <w:pPr>
        <w:pStyle w:val="Default"/>
        <w:ind w:left="1125"/>
        <w:rPr>
          <w:color w:val="auto"/>
        </w:rPr>
      </w:pPr>
      <w:r>
        <w:rPr>
          <w:color w:val="auto"/>
        </w:rPr>
        <w:t xml:space="preserve">     </w:t>
      </w:r>
      <w:r w:rsidR="005408FB">
        <w:rPr>
          <w:color w:val="auto"/>
        </w:rPr>
        <w:t>after a move may be considered to have moved in order to obtain qualifying work</w:t>
      </w:r>
    </w:p>
    <w:p w:rsidR="009350B1" w:rsidRDefault="009350B1" w:rsidP="005408FB">
      <w:pPr>
        <w:pStyle w:val="Default"/>
        <w:ind w:left="1125"/>
        <w:rPr>
          <w:color w:val="auto"/>
        </w:rPr>
      </w:pPr>
      <w:r>
        <w:rPr>
          <w:color w:val="auto"/>
        </w:rPr>
        <w:t xml:space="preserve">    </w:t>
      </w:r>
      <w:r w:rsidR="005408FB">
        <w:rPr>
          <w:color w:val="auto"/>
        </w:rPr>
        <w:t xml:space="preserve"> only if the worker states that at least one purpose of the move was specifically to</w:t>
      </w:r>
    </w:p>
    <w:p w:rsidR="005408FB" w:rsidRDefault="009350B1" w:rsidP="005408FB">
      <w:pPr>
        <w:pStyle w:val="Default"/>
        <w:ind w:left="1125"/>
        <w:rPr>
          <w:color w:val="auto"/>
        </w:rPr>
      </w:pPr>
      <w:r>
        <w:rPr>
          <w:color w:val="auto"/>
        </w:rPr>
        <w:t xml:space="preserve">    </w:t>
      </w:r>
      <w:r w:rsidR="005408FB">
        <w:rPr>
          <w:color w:val="auto"/>
        </w:rPr>
        <w:t xml:space="preserve"> seek the qualifying work, and:</w:t>
      </w:r>
    </w:p>
    <w:p w:rsidR="005408FB" w:rsidRDefault="005408FB" w:rsidP="005408FB">
      <w:pPr>
        <w:pStyle w:val="Default"/>
        <w:ind w:left="1125"/>
        <w:rPr>
          <w:color w:val="auto"/>
        </w:rPr>
      </w:pPr>
    </w:p>
    <w:p w:rsidR="009350B1" w:rsidRDefault="004D2EFA" w:rsidP="004D2EFA">
      <w:pPr>
        <w:pStyle w:val="Default"/>
        <w:ind w:left="1485"/>
        <w:rPr>
          <w:color w:val="auto"/>
        </w:rPr>
      </w:pPr>
      <w:r>
        <w:rPr>
          <w:color w:val="auto"/>
        </w:rPr>
        <w:t xml:space="preserve">i. </w:t>
      </w:r>
      <w:r w:rsidR="009350B1">
        <w:rPr>
          <w:color w:val="auto"/>
        </w:rPr>
        <w:t xml:space="preserve"> </w:t>
      </w:r>
      <w:r>
        <w:rPr>
          <w:color w:val="auto"/>
        </w:rPr>
        <w:t>The worker is found to have a prior history of moves to obtain qualifying</w:t>
      </w:r>
    </w:p>
    <w:p w:rsidR="005408FB" w:rsidRDefault="009350B1" w:rsidP="004D2EFA">
      <w:pPr>
        <w:pStyle w:val="Default"/>
        <w:ind w:left="1485"/>
        <w:rPr>
          <w:color w:val="auto"/>
        </w:rPr>
      </w:pPr>
      <w:r>
        <w:rPr>
          <w:color w:val="auto"/>
        </w:rPr>
        <w:t xml:space="preserve">   </w:t>
      </w:r>
      <w:r w:rsidR="004D2EFA">
        <w:rPr>
          <w:color w:val="auto"/>
        </w:rPr>
        <w:t xml:space="preserve"> work; or</w:t>
      </w:r>
    </w:p>
    <w:p w:rsidR="004D2EFA" w:rsidRDefault="004D2EFA" w:rsidP="004D2EFA">
      <w:pPr>
        <w:pStyle w:val="Default"/>
        <w:ind w:left="1485"/>
        <w:rPr>
          <w:color w:val="auto"/>
        </w:rPr>
      </w:pPr>
    </w:p>
    <w:p w:rsidR="009350B1" w:rsidRDefault="009350B1" w:rsidP="004D2EFA">
      <w:pPr>
        <w:pStyle w:val="Default"/>
        <w:ind w:left="1485"/>
        <w:rPr>
          <w:color w:val="auto"/>
        </w:rPr>
      </w:pPr>
      <w:r>
        <w:rPr>
          <w:color w:val="auto"/>
        </w:rPr>
        <w:t>ii</w:t>
      </w:r>
      <w:r w:rsidR="004D2EFA">
        <w:rPr>
          <w:color w:val="auto"/>
        </w:rPr>
        <w:t>. There is other credible evidence that the worker actively sought qualifying</w:t>
      </w:r>
    </w:p>
    <w:p w:rsidR="009350B1" w:rsidRDefault="009350B1" w:rsidP="004D2EFA">
      <w:pPr>
        <w:pStyle w:val="Default"/>
        <w:ind w:left="1485"/>
        <w:rPr>
          <w:color w:val="auto"/>
        </w:rPr>
      </w:pPr>
      <w:r>
        <w:rPr>
          <w:color w:val="auto"/>
        </w:rPr>
        <w:t xml:space="preserve">     </w:t>
      </w:r>
      <w:r w:rsidR="004D2EFA">
        <w:rPr>
          <w:color w:val="auto"/>
        </w:rPr>
        <w:t>work soon after the move but, for reasons beyond the worker’s control, the</w:t>
      </w:r>
    </w:p>
    <w:p w:rsidR="009350B1" w:rsidRPr="00C8651E" w:rsidRDefault="009350B1" w:rsidP="004D2EFA">
      <w:pPr>
        <w:pStyle w:val="Default"/>
        <w:ind w:left="1485"/>
        <w:rPr>
          <w:color w:val="auto"/>
        </w:rPr>
      </w:pPr>
      <w:r>
        <w:rPr>
          <w:color w:val="auto"/>
        </w:rPr>
        <w:t xml:space="preserve">    </w:t>
      </w:r>
      <w:r w:rsidR="004D2EFA">
        <w:rPr>
          <w:color w:val="auto"/>
        </w:rPr>
        <w:t xml:space="preserve"> work was not available.</w:t>
      </w:r>
    </w:p>
    <w:p w:rsidR="00C943F4" w:rsidRDefault="00C943F4" w:rsidP="00C943F4">
      <w:pPr>
        <w:pStyle w:val="Default"/>
        <w:ind w:hanging="720"/>
        <w:rPr>
          <w:color w:val="auto"/>
        </w:rPr>
      </w:pPr>
    </w:p>
    <w:p w:rsidR="004D2EFA" w:rsidRDefault="004D2EFA" w:rsidP="00A3339F">
      <w:pPr>
        <w:pStyle w:val="Default"/>
        <w:ind w:hanging="720"/>
        <w:rPr>
          <w:color w:val="auto"/>
        </w:rPr>
      </w:pPr>
      <w:r w:rsidRPr="004D2EFA">
        <w:rPr>
          <w:color w:val="auto"/>
        </w:rPr>
        <w:tab/>
      </w:r>
      <w:r>
        <w:rPr>
          <w:color w:val="auto"/>
          <w:u w:val="single"/>
        </w:rPr>
        <w:t>Plan Requirements</w:t>
      </w:r>
    </w:p>
    <w:p w:rsidR="00A3339F" w:rsidRDefault="00A3339F" w:rsidP="00A3339F">
      <w:pPr>
        <w:spacing w:after="0" w:line="240" w:lineRule="auto"/>
        <w:rPr>
          <w:rFonts w:ascii="Times New Roman" w:hAnsi="Times New Roman" w:cs="Times New Roman"/>
          <w:sz w:val="24"/>
          <w:szCs w:val="24"/>
        </w:rPr>
      </w:pPr>
    </w:p>
    <w:p w:rsidR="009350B1" w:rsidRDefault="004D2EFA" w:rsidP="00A3339F">
      <w:pPr>
        <w:spacing w:after="0" w:line="240" w:lineRule="auto"/>
        <w:rPr>
          <w:rFonts w:ascii="Times New Roman" w:hAnsi="Times New Roman" w:cs="Times New Roman"/>
          <w:sz w:val="24"/>
          <w:szCs w:val="24"/>
        </w:rPr>
      </w:pPr>
      <w:r w:rsidRPr="009350B1">
        <w:rPr>
          <w:rFonts w:ascii="Times New Roman" w:hAnsi="Times New Roman" w:cs="Times New Roman"/>
          <w:sz w:val="24"/>
          <w:szCs w:val="24"/>
        </w:rPr>
        <w:t>The District’s Plan shall, at a minimum, include provisions to accomplish the followin</w:t>
      </w:r>
      <w:r w:rsidR="009350B1" w:rsidRPr="009350B1">
        <w:rPr>
          <w:rFonts w:ascii="Times New Roman" w:hAnsi="Times New Roman" w:cs="Times New Roman"/>
          <w:sz w:val="24"/>
          <w:szCs w:val="24"/>
        </w:rPr>
        <w:t xml:space="preserve">g goals </w:t>
      </w:r>
      <w:r w:rsidRPr="009350B1">
        <w:rPr>
          <w:rFonts w:ascii="Times New Roman" w:hAnsi="Times New Roman" w:cs="Times New Roman"/>
          <w:sz w:val="24"/>
          <w:szCs w:val="24"/>
        </w:rPr>
        <w:t>and directives:</w:t>
      </w:r>
    </w:p>
    <w:p w:rsidR="00A3339F" w:rsidRDefault="00A3339F" w:rsidP="00A3339F">
      <w:pPr>
        <w:spacing w:after="0" w:line="240" w:lineRule="auto"/>
      </w:pPr>
    </w:p>
    <w:p w:rsidR="004D2EFA" w:rsidRDefault="004D2EFA" w:rsidP="004D2EFA">
      <w:pPr>
        <w:pStyle w:val="Default"/>
        <w:numPr>
          <w:ilvl w:val="0"/>
          <w:numId w:val="6"/>
        </w:numPr>
        <w:rPr>
          <w:color w:val="auto"/>
        </w:rPr>
      </w:pPr>
      <w:r>
        <w:rPr>
          <w:i/>
          <w:color w:val="auto"/>
        </w:rPr>
        <w:t>Performance targets.</w:t>
      </w:r>
      <w:r>
        <w:rPr>
          <w:color w:val="auto"/>
        </w:rPr>
        <w:t xml:space="preserve"> The plan must specify:</w:t>
      </w:r>
    </w:p>
    <w:p w:rsidR="009350B1" w:rsidRDefault="009350B1" w:rsidP="009350B1">
      <w:pPr>
        <w:pStyle w:val="Default"/>
        <w:ind w:left="720"/>
        <w:rPr>
          <w:color w:val="auto"/>
        </w:rPr>
      </w:pPr>
    </w:p>
    <w:p w:rsidR="00C53832" w:rsidRDefault="004D2EFA" w:rsidP="004D2EFA">
      <w:pPr>
        <w:pStyle w:val="Default"/>
        <w:ind w:left="720"/>
        <w:rPr>
          <w:color w:val="auto"/>
        </w:rPr>
      </w:pPr>
      <w:r>
        <w:rPr>
          <w:color w:val="auto"/>
        </w:rPr>
        <w:t>A. Performance targets that the State has adopted for all children in reading and</w:t>
      </w:r>
    </w:p>
    <w:p w:rsidR="00C53832" w:rsidRDefault="00C53832" w:rsidP="004D2EFA">
      <w:pPr>
        <w:pStyle w:val="Default"/>
        <w:ind w:left="720"/>
        <w:rPr>
          <w:color w:val="auto"/>
        </w:rPr>
      </w:pPr>
      <w:r>
        <w:rPr>
          <w:color w:val="auto"/>
        </w:rPr>
        <w:t xml:space="preserve">    </w:t>
      </w:r>
      <w:r w:rsidR="004D2EFA">
        <w:rPr>
          <w:color w:val="auto"/>
        </w:rPr>
        <w:t xml:space="preserve"> mathematics achievement, high school graduation, and the number of school dropouts,</w:t>
      </w:r>
    </w:p>
    <w:p w:rsidR="004D2EFA" w:rsidRDefault="00C53832" w:rsidP="004D2EFA">
      <w:pPr>
        <w:pStyle w:val="Default"/>
        <w:ind w:left="720"/>
        <w:rPr>
          <w:color w:val="auto"/>
        </w:rPr>
      </w:pPr>
      <w:r>
        <w:rPr>
          <w:color w:val="auto"/>
        </w:rPr>
        <w:t xml:space="preserve">    </w:t>
      </w:r>
      <w:r w:rsidR="004D2EFA">
        <w:rPr>
          <w:color w:val="auto"/>
        </w:rPr>
        <w:t xml:space="preserve"> as well as the State’s performance targets, if any, for school readiness; and </w:t>
      </w:r>
    </w:p>
    <w:p w:rsidR="00C53832" w:rsidRDefault="00C53832" w:rsidP="004D2EFA">
      <w:pPr>
        <w:pStyle w:val="Default"/>
        <w:ind w:left="720"/>
        <w:rPr>
          <w:color w:val="auto"/>
        </w:rPr>
      </w:pPr>
    </w:p>
    <w:p w:rsidR="00C53832" w:rsidRDefault="004D2EFA" w:rsidP="004D2EFA">
      <w:pPr>
        <w:pStyle w:val="Default"/>
        <w:ind w:left="720"/>
        <w:rPr>
          <w:color w:val="auto"/>
        </w:rPr>
      </w:pPr>
      <w:r>
        <w:rPr>
          <w:color w:val="auto"/>
        </w:rPr>
        <w:t>B. Any other performance targets that the State or District has identified for migratory</w:t>
      </w:r>
    </w:p>
    <w:p w:rsidR="004D2EFA" w:rsidRDefault="00C53832" w:rsidP="004D2EFA">
      <w:pPr>
        <w:pStyle w:val="Default"/>
        <w:ind w:left="720"/>
        <w:rPr>
          <w:color w:val="auto"/>
        </w:rPr>
      </w:pPr>
      <w:r>
        <w:rPr>
          <w:color w:val="auto"/>
        </w:rPr>
        <w:lastRenderedPageBreak/>
        <w:t xml:space="preserve">   </w:t>
      </w:r>
      <w:r w:rsidR="004D2EFA">
        <w:rPr>
          <w:color w:val="auto"/>
        </w:rPr>
        <w:t xml:space="preserve"> </w:t>
      </w:r>
      <w:r>
        <w:rPr>
          <w:color w:val="auto"/>
        </w:rPr>
        <w:t xml:space="preserve"> </w:t>
      </w:r>
      <w:r w:rsidR="004D2EFA">
        <w:rPr>
          <w:color w:val="auto"/>
        </w:rPr>
        <w:t>children.</w:t>
      </w:r>
    </w:p>
    <w:p w:rsidR="00C53832" w:rsidRDefault="00C53832" w:rsidP="004D2EFA">
      <w:pPr>
        <w:pStyle w:val="Default"/>
        <w:ind w:left="720"/>
        <w:rPr>
          <w:color w:val="auto"/>
        </w:rPr>
      </w:pPr>
    </w:p>
    <w:p w:rsidR="00C53832" w:rsidRDefault="004D2EFA" w:rsidP="00C53832">
      <w:pPr>
        <w:pStyle w:val="Default"/>
        <w:ind w:left="360"/>
        <w:rPr>
          <w:color w:val="auto"/>
        </w:rPr>
      </w:pPr>
      <w:r>
        <w:rPr>
          <w:color w:val="auto"/>
        </w:rPr>
        <w:t xml:space="preserve">2. </w:t>
      </w:r>
      <w:r w:rsidR="00C53832">
        <w:rPr>
          <w:color w:val="auto"/>
        </w:rPr>
        <w:t xml:space="preserve"> </w:t>
      </w:r>
      <w:r>
        <w:rPr>
          <w:i/>
          <w:color w:val="auto"/>
        </w:rPr>
        <w:t>Needs assessment.</w:t>
      </w:r>
      <w:r w:rsidR="00C53832">
        <w:rPr>
          <w:i/>
          <w:color w:val="auto"/>
        </w:rPr>
        <w:t xml:space="preserve"> </w:t>
      </w:r>
      <w:r>
        <w:rPr>
          <w:color w:val="auto"/>
        </w:rPr>
        <w:t>The plan must include an identification and assessment of:</w:t>
      </w:r>
      <w:r w:rsidR="00C53832">
        <w:rPr>
          <w:color w:val="auto"/>
        </w:rPr>
        <w:br/>
        <w:t xml:space="preserve">      </w:t>
      </w:r>
    </w:p>
    <w:p w:rsidR="00C53832" w:rsidRDefault="00C53832" w:rsidP="00C53832">
      <w:pPr>
        <w:pStyle w:val="Default"/>
        <w:ind w:left="360"/>
        <w:rPr>
          <w:color w:val="auto"/>
        </w:rPr>
      </w:pPr>
      <w:r>
        <w:rPr>
          <w:color w:val="auto"/>
        </w:rPr>
        <w:t xml:space="preserve">      A.  The unique educational needs of migratory children that result from the children’s</w:t>
      </w:r>
    </w:p>
    <w:p w:rsidR="00C53832" w:rsidRDefault="00C53832" w:rsidP="00C53832">
      <w:pPr>
        <w:pStyle w:val="Default"/>
        <w:ind w:left="360"/>
        <w:rPr>
          <w:color w:val="auto"/>
        </w:rPr>
      </w:pPr>
      <w:r>
        <w:rPr>
          <w:color w:val="auto"/>
        </w:rPr>
        <w:t xml:space="preserve">            migratory lifestyle; and </w:t>
      </w:r>
    </w:p>
    <w:p w:rsidR="00C53832" w:rsidRDefault="00C53832" w:rsidP="00C53832">
      <w:pPr>
        <w:pStyle w:val="Default"/>
        <w:ind w:left="360"/>
        <w:rPr>
          <w:color w:val="auto"/>
        </w:rPr>
      </w:pPr>
      <w:r>
        <w:rPr>
          <w:color w:val="auto"/>
        </w:rPr>
        <w:t xml:space="preserve">      B.  Other needs of migratory students that must be met in order for migratory children to</w:t>
      </w:r>
    </w:p>
    <w:p w:rsidR="00C53832" w:rsidRDefault="00C53832" w:rsidP="00C53832">
      <w:pPr>
        <w:pStyle w:val="Default"/>
        <w:ind w:left="360"/>
        <w:rPr>
          <w:color w:val="auto"/>
        </w:rPr>
      </w:pPr>
      <w:r>
        <w:rPr>
          <w:color w:val="auto"/>
        </w:rPr>
        <w:t xml:space="preserve">            participate effectively in school.</w:t>
      </w:r>
    </w:p>
    <w:p w:rsidR="00C53832" w:rsidRDefault="00C53832" w:rsidP="00C53832">
      <w:pPr>
        <w:pStyle w:val="Default"/>
        <w:ind w:left="360"/>
        <w:rPr>
          <w:color w:val="auto"/>
        </w:rPr>
      </w:pPr>
    </w:p>
    <w:p w:rsidR="00525B31" w:rsidRDefault="00C53832" w:rsidP="00C53832">
      <w:pPr>
        <w:pStyle w:val="Default"/>
        <w:ind w:left="360"/>
        <w:rPr>
          <w:color w:val="auto"/>
        </w:rPr>
      </w:pPr>
      <w:r>
        <w:rPr>
          <w:color w:val="auto"/>
        </w:rPr>
        <w:t xml:space="preserve">3.  </w:t>
      </w:r>
      <w:r>
        <w:rPr>
          <w:i/>
          <w:color w:val="auto"/>
        </w:rPr>
        <w:t xml:space="preserve">Measureable program outcomes. </w:t>
      </w:r>
      <w:r>
        <w:rPr>
          <w:color w:val="auto"/>
        </w:rPr>
        <w:t>The plan must include the measurable program</w:t>
      </w:r>
    </w:p>
    <w:p w:rsidR="00525B31" w:rsidRDefault="00525B31" w:rsidP="00C53832">
      <w:pPr>
        <w:pStyle w:val="Default"/>
        <w:ind w:left="360"/>
        <w:rPr>
          <w:color w:val="auto"/>
        </w:rPr>
      </w:pPr>
      <w:r>
        <w:rPr>
          <w:color w:val="auto"/>
        </w:rPr>
        <w:t xml:space="preserve">    </w:t>
      </w:r>
      <w:r w:rsidR="00C53832">
        <w:rPr>
          <w:color w:val="auto"/>
        </w:rPr>
        <w:t xml:space="preserve"> outcomes (i.e., objectives) that a State’s migrant education program will produce to meet</w:t>
      </w:r>
    </w:p>
    <w:p w:rsidR="00525B31" w:rsidRDefault="00525B31" w:rsidP="00C53832">
      <w:pPr>
        <w:pStyle w:val="Default"/>
        <w:ind w:left="360"/>
        <w:rPr>
          <w:color w:val="auto"/>
        </w:rPr>
      </w:pPr>
      <w:r>
        <w:rPr>
          <w:color w:val="auto"/>
        </w:rPr>
        <w:t xml:space="preserve">    </w:t>
      </w:r>
      <w:r w:rsidR="00C53832">
        <w:rPr>
          <w:color w:val="auto"/>
        </w:rPr>
        <w:t xml:space="preserve"> the identified unique needs of migratory children and help migratory children achieve the</w:t>
      </w:r>
    </w:p>
    <w:p w:rsidR="00C53832" w:rsidRDefault="00525B31" w:rsidP="00C53832">
      <w:pPr>
        <w:pStyle w:val="Default"/>
        <w:ind w:left="360"/>
        <w:rPr>
          <w:color w:val="auto"/>
        </w:rPr>
      </w:pPr>
      <w:r>
        <w:rPr>
          <w:color w:val="auto"/>
        </w:rPr>
        <w:t xml:space="preserve">    </w:t>
      </w:r>
      <w:r w:rsidR="00C53832">
        <w:rPr>
          <w:color w:val="auto"/>
        </w:rPr>
        <w:t xml:space="preserve"> State’s performance targets identified in paragraph (1)(A) of this section.</w:t>
      </w:r>
    </w:p>
    <w:p w:rsidR="00C53832" w:rsidRDefault="00C53832" w:rsidP="00C53832">
      <w:pPr>
        <w:pStyle w:val="Default"/>
        <w:ind w:left="360"/>
        <w:rPr>
          <w:color w:val="auto"/>
        </w:rPr>
      </w:pPr>
    </w:p>
    <w:p w:rsidR="00525B31" w:rsidRDefault="00C53832" w:rsidP="00C53832">
      <w:pPr>
        <w:pStyle w:val="Default"/>
        <w:ind w:left="360"/>
        <w:rPr>
          <w:color w:val="auto"/>
        </w:rPr>
      </w:pPr>
      <w:r>
        <w:rPr>
          <w:color w:val="auto"/>
        </w:rPr>
        <w:t xml:space="preserve">4.  </w:t>
      </w:r>
      <w:r>
        <w:rPr>
          <w:i/>
          <w:color w:val="auto"/>
        </w:rPr>
        <w:t>Service delivery.</w:t>
      </w:r>
      <w:r>
        <w:rPr>
          <w:color w:val="auto"/>
        </w:rPr>
        <w:t xml:space="preserve">  The plan must describe the strategies that the State Board will pursue on</w:t>
      </w:r>
    </w:p>
    <w:p w:rsidR="00525B31" w:rsidRDefault="00525B31" w:rsidP="00C53832">
      <w:pPr>
        <w:pStyle w:val="Default"/>
        <w:ind w:left="360"/>
        <w:rPr>
          <w:color w:val="auto"/>
        </w:rPr>
      </w:pPr>
      <w:r>
        <w:rPr>
          <w:color w:val="auto"/>
        </w:rPr>
        <w:t xml:space="preserve">    </w:t>
      </w:r>
      <w:r w:rsidR="00C53832">
        <w:rPr>
          <w:color w:val="auto"/>
        </w:rPr>
        <w:t xml:space="preserve"> a statewide basis to achieve the measurable program outcomes in paragraph (3)(A) of this</w:t>
      </w:r>
    </w:p>
    <w:p w:rsidR="00C53832" w:rsidRDefault="00525B31" w:rsidP="00C53832">
      <w:pPr>
        <w:pStyle w:val="Default"/>
        <w:ind w:left="360"/>
        <w:rPr>
          <w:color w:val="auto"/>
        </w:rPr>
      </w:pPr>
      <w:r>
        <w:rPr>
          <w:color w:val="auto"/>
        </w:rPr>
        <w:t xml:space="preserve">    </w:t>
      </w:r>
      <w:r w:rsidR="00C53832">
        <w:rPr>
          <w:color w:val="auto"/>
        </w:rPr>
        <w:t xml:space="preserve"> section by addressing:</w:t>
      </w:r>
    </w:p>
    <w:p w:rsidR="00C53832" w:rsidRDefault="00C53832" w:rsidP="00C53832">
      <w:pPr>
        <w:pStyle w:val="Default"/>
        <w:ind w:left="360"/>
        <w:rPr>
          <w:color w:val="auto"/>
        </w:rPr>
      </w:pPr>
    </w:p>
    <w:p w:rsidR="00C53832" w:rsidRDefault="00C53832" w:rsidP="00C53832">
      <w:pPr>
        <w:pStyle w:val="Default"/>
        <w:ind w:left="1080"/>
        <w:rPr>
          <w:color w:val="auto"/>
        </w:rPr>
      </w:pPr>
      <w:r>
        <w:rPr>
          <w:color w:val="auto"/>
        </w:rPr>
        <w:t>A.  The unique educational needs of migratory children; and</w:t>
      </w:r>
    </w:p>
    <w:p w:rsidR="00C53832" w:rsidRDefault="00C53832" w:rsidP="00C53832">
      <w:pPr>
        <w:pStyle w:val="Default"/>
        <w:ind w:left="1080"/>
        <w:rPr>
          <w:color w:val="auto"/>
        </w:rPr>
      </w:pPr>
      <w:r>
        <w:rPr>
          <w:color w:val="auto"/>
        </w:rPr>
        <w:t>B.  Other needs of migratory children.</w:t>
      </w:r>
    </w:p>
    <w:p w:rsidR="00525B31" w:rsidRDefault="00525B31" w:rsidP="00C53832">
      <w:pPr>
        <w:pStyle w:val="Default"/>
        <w:ind w:left="1080"/>
        <w:rPr>
          <w:color w:val="auto"/>
        </w:rPr>
      </w:pPr>
    </w:p>
    <w:p w:rsidR="00525B31" w:rsidRDefault="00525B31" w:rsidP="00525B31">
      <w:pPr>
        <w:pStyle w:val="Default"/>
        <w:rPr>
          <w:color w:val="auto"/>
        </w:rPr>
      </w:pPr>
      <w:r>
        <w:rPr>
          <w:color w:val="auto"/>
        </w:rPr>
        <w:t xml:space="preserve">      5.  </w:t>
      </w:r>
      <w:r>
        <w:rPr>
          <w:i/>
          <w:color w:val="auto"/>
        </w:rPr>
        <w:t xml:space="preserve">Evaluation. </w:t>
      </w:r>
      <w:r>
        <w:rPr>
          <w:color w:val="auto"/>
        </w:rPr>
        <w:t>The plan must describe how the District will evaluate the effectiveness of its</w:t>
      </w:r>
    </w:p>
    <w:p w:rsidR="00525B31" w:rsidRPr="00525B31" w:rsidRDefault="00525B31" w:rsidP="00525B31">
      <w:pPr>
        <w:pStyle w:val="Default"/>
        <w:rPr>
          <w:color w:val="auto"/>
        </w:rPr>
      </w:pPr>
      <w:r>
        <w:rPr>
          <w:color w:val="auto"/>
        </w:rPr>
        <w:t xml:space="preserve">           program.</w:t>
      </w:r>
    </w:p>
    <w:p w:rsidR="004D2EFA" w:rsidRPr="004D2EFA" w:rsidRDefault="004D2EFA" w:rsidP="004D2EFA">
      <w:pPr>
        <w:pStyle w:val="Default"/>
        <w:rPr>
          <w:color w:val="auto"/>
        </w:rPr>
      </w:pPr>
    </w:p>
    <w:p w:rsidR="00C943F4" w:rsidRPr="00C943F4" w:rsidRDefault="00C943F4" w:rsidP="00C943F4">
      <w:pPr>
        <w:pStyle w:val="Default"/>
        <w:rPr>
          <w:color w:val="auto"/>
          <w:u w:val="single"/>
        </w:rPr>
      </w:pPr>
      <w:r w:rsidRPr="00C943F4">
        <w:rPr>
          <w:color w:val="auto"/>
          <w:u w:val="single"/>
        </w:rPr>
        <w:t xml:space="preserve">Record Keeping </w:t>
      </w:r>
    </w:p>
    <w:p w:rsidR="00C943F4" w:rsidRPr="00C8651E" w:rsidRDefault="00C943F4" w:rsidP="00C943F4">
      <w:pPr>
        <w:pStyle w:val="Default"/>
        <w:rPr>
          <w:color w:val="auto"/>
        </w:rPr>
      </w:pPr>
      <w:r w:rsidRPr="00C8651E">
        <w:rPr>
          <w:color w:val="auto"/>
        </w:rPr>
        <w:t xml:space="preserve"> </w:t>
      </w:r>
    </w:p>
    <w:p w:rsidR="00C943F4" w:rsidRDefault="00C943F4" w:rsidP="00C943F4">
      <w:pPr>
        <w:pStyle w:val="Default"/>
        <w:rPr>
          <w:color w:val="auto"/>
        </w:rPr>
      </w:pPr>
      <w:r w:rsidRPr="00C8651E">
        <w:rPr>
          <w:color w:val="auto"/>
        </w:rPr>
        <w:t>District</w:t>
      </w:r>
      <w:r w:rsidR="00525B31">
        <w:rPr>
          <w:color w:val="auto"/>
        </w:rPr>
        <w:t xml:space="preserve"> records for migratory children should include the following:</w:t>
      </w:r>
      <w:r w:rsidRPr="00C8651E">
        <w:rPr>
          <w:color w:val="auto"/>
        </w:rPr>
        <w:t xml:space="preserve"> </w:t>
      </w:r>
    </w:p>
    <w:p w:rsidR="00525B31" w:rsidRDefault="00525B31" w:rsidP="00C943F4">
      <w:pPr>
        <w:pStyle w:val="Default"/>
        <w:rPr>
          <w:color w:val="auto"/>
        </w:rPr>
      </w:pPr>
    </w:p>
    <w:p w:rsidR="00525B31" w:rsidRDefault="00525B31" w:rsidP="00525B31">
      <w:pPr>
        <w:pStyle w:val="Default"/>
        <w:ind w:left="360"/>
        <w:rPr>
          <w:color w:val="auto"/>
        </w:rPr>
      </w:pPr>
      <w:r>
        <w:rPr>
          <w:color w:val="auto"/>
        </w:rPr>
        <w:t>1.  Immunization records and other health information;</w:t>
      </w:r>
    </w:p>
    <w:p w:rsidR="00525B31" w:rsidRDefault="00525B31" w:rsidP="00525B31">
      <w:pPr>
        <w:pStyle w:val="Default"/>
        <w:ind w:left="360"/>
        <w:rPr>
          <w:color w:val="auto"/>
        </w:rPr>
      </w:pPr>
      <w:r>
        <w:rPr>
          <w:color w:val="auto"/>
        </w:rPr>
        <w:t>2.  Elementary and secondary academic history (including partial credit), credit accrual, and</w:t>
      </w:r>
    </w:p>
    <w:p w:rsidR="00525B31" w:rsidRDefault="00525B31" w:rsidP="00525B31">
      <w:pPr>
        <w:pStyle w:val="Default"/>
        <w:ind w:left="360"/>
        <w:rPr>
          <w:color w:val="auto"/>
        </w:rPr>
      </w:pPr>
      <w:r>
        <w:rPr>
          <w:color w:val="auto"/>
        </w:rPr>
        <w:t xml:space="preserve">     results from State assessments;</w:t>
      </w:r>
    </w:p>
    <w:p w:rsidR="00525B31" w:rsidRDefault="00525B31" w:rsidP="00525B31">
      <w:pPr>
        <w:pStyle w:val="Default"/>
        <w:ind w:left="360"/>
        <w:rPr>
          <w:color w:val="auto"/>
        </w:rPr>
      </w:pPr>
      <w:r>
        <w:rPr>
          <w:color w:val="auto"/>
        </w:rPr>
        <w:t>3.  Other academic information essential to ensuring that migratory children achieve to the</w:t>
      </w:r>
    </w:p>
    <w:p w:rsidR="00525B31" w:rsidRDefault="00525B31" w:rsidP="00525B31">
      <w:pPr>
        <w:pStyle w:val="Default"/>
        <w:ind w:left="360"/>
        <w:rPr>
          <w:color w:val="auto"/>
        </w:rPr>
      </w:pPr>
      <w:r>
        <w:rPr>
          <w:color w:val="auto"/>
        </w:rPr>
        <w:t xml:space="preserve">    challenging State academic standards; and </w:t>
      </w:r>
    </w:p>
    <w:p w:rsidR="00525B31" w:rsidRDefault="00525B31" w:rsidP="00525B31">
      <w:pPr>
        <w:pStyle w:val="Default"/>
        <w:ind w:left="360"/>
        <w:rPr>
          <w:color w:val="auto"/>
        </w:rPr>
      </w:pPr>
      <w:r>
        <w:rPr>
          <w:color w:val="auto"/>
        </w:rPr>
        <w:t>4. Eligibility for services under the Individuals with Disabilities Education Act.</w:t>
      </w:r>
    </w:p>
    <w:p w:rsidR="00525B31" w:rsidRPr="00C8651E" w:rsidRDefault="00525B31" w:rsidP="00525B31">
      <w:pPr>
        <w:pStyle w:val="Default"/>
        <w:ind w:left="360"/>
        <w:rPr>
          <w:color w:val="auto"/>
        </w:rPr>
      </w:pPr>
    </w:p>
    <w:p w:rsidR="00525B31" w:rsidRDefault="00525B31" w:rsidP="00C943F4">
      <w:pPr>
        <w:pStyle w:val="Default"/>
        <w:rPr>
          <w:color w:val="auto"/>
        </w:rPr>
      </w:pPr>
      <w:r>
        <w:rPr>
          <w:color w:val="auto"/>
        </w:rPr>
        <w:t>The District is required to keep financial records to demonstrate:</w:t>
      </w:r>
    </w:p>
    <w:p w:rsidR="00C943F4" w:rsidRPr="00C8651E" w:rsidRDefault="00C943F4" w:rsidP="00C943F4">
      <w:pPr>
        <w:pStyle w:val="Default"/>
        <w:rPr>
          <w:color w:val="auto"/>
        </w:rPr>
      </w:pPr>
      <w:r w:rsidRPr="00C8651E">
        <w:rPr>
          <w:color w:val="auto"/>
        </w:rPr>
        <w:t xml:space="preserve"> </w:t>
      </w:r>
    </w:p>
    <w:p w:rsidR="00C943F4" w:rsidRPr="00C8651E" w:rsidRDefault="00C943F4" w:rsidP="00C943F4">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The amount of funds under the grant or sub-grant; </w:t>
      </w:r>
    </w:p>
    <w:p w:rsidR="00C943F4" w:rsidRPr="00C8651E" w:rsidRDefault="00C943F4" w:rsidP="00C943F4">
      <w:pPr>
        <w:pStyle w:val="Default"/>
        <w:ind w:left="720" w:hanging="360"/>
        <w:rPr>
          <w:color w:val="auto"/>
        </w:rPr>
      </w:pPr>
      <w:r w:rsidRPr="00C8651E">
        <w:rPr>
          <w:color w:val="auto"/>
        </w:rPr>
        <w:t>2.</w:t>
      </w:r>
      <w:r w:rsidRPr="00C8651E">
        <w:rPr>
          <w:rFonts w:ascii="Arial" w:hAnsi="Arial" w:cs="Arial"/>
          <w:color w:val="auto"/>
        </w:rPr>
        <w:t xml:space="preserve"> </w:t>
      </w:r>
      <w:r w:rsidRPr="00C8651E">
        <w:rPr>
          <w:color w:val="auto"/>
        </w:rPr>
        <w:t xml:space="preserve">How the District uses the funds; </w:t>
      </w:r>
    </w:p>
    <w:p w:rsidR="00C943F4" w:rsidRPr="00C8651E" w:rsidRDefault="00C943F4" w:rsidP="00C943F4">
      <w:pPr>
        <w:pStyle w:val="Default"/>
        <w:ind w:left="720" w:hanging="360"/>
        <w:rPr>
          <w:color w:val="auto"/>
        </w:rPr>
      </w:pPr>
      <w:r w:rsidRPr="00C8651E">
        <w:rPr>
          <w:color w:val="auto"/>
        </w:rPr>
        <w:t>3.</w:t>
      </w:r>
      <w:r w:rsidRPr="00C8651E">
        <w:rPr>
          <w:rFonts w:ascii="Arial" w:hAnsi="Arial" w:cs="Arial"/>
          <w:color w:val="auto"/>
        </w:rPr>
        <w:t xml:space="preserve"> </w:t>
      </w:r>
      <w:r w:rsidRPr="00C8651E">
        <w:rPr>
          <w:color w:val="auto"/>
        </w:rPr>
        <w:t xml:space="preserve">The total cost of the program; </w:t>
      </w:r>
    </w:p>
    <w:p w:rsidR="00C943F4" w:rsidRPr="00C8651E" w:rsidRDefault="00C943F4" w:rsidP="00C943F4">
      <w:pPr>
        <w:pStyle w:val="Default"/>
        <w:ind w:left="720" w:hanging="360"/>
        <w:rPr>
          <w:color w:val="auto"/>
        </w:rPr>
      </w:pPr>
      <w:r w:rsidRPr="00C8651E">
        <w:rPr>
          <w:color w:val="auto"/>
        </w:rPr>
        <w:t>4.</w:t>
      </w:r>
      <w:r w:rsidRPr="00C8651E">
        <w:rPr>
          <w:rFonts w:ascii="Arial" w:hAnsi="Arial" w:cs="Arial"/>
          <w:color w:val="auto"/>
        </w:rPr>
        <w:t xml:space="preserve"> </w:t>
      </w:r>
      <w:r w:rsidRPr="00C8651E">
        <w:rPr>
          <w:color w:val="auto"/>
        </w:rPr>
        <w:t xml:space="preserve">The share of the cost provided from other sources; and </w:t>
      </w:r>
    </w:p>
    <w:p w:rsidR="00C943F4" w:rsidRPr="00C8651E" w:rsidRDefault="00C943F4" w:rsidP="00C943F4">
      <w:pPr>
        <w:pStyle w:val="Default"/>
        <w:ind w:left="720" w:hanging="360"/>
        <w:rPr>
          <w:color w:val="auto"/>
        </w:rPr>
      </w:pPr>
      <w:r w:rsidRPr="00C8651E">
        <w:rPr>
          <w:color w:val="auto"/>
        </w:rPr>
        <w:t>5.</w:t>
      </w:r>
      <w:r w:rsidRPr="00C8651E">
        <w:rPr>
          <w:rFonts w:ascii="Arial" w:hAnsi="Arial" w:cs="Arial"/>
          <w:color w:val="auto"/>
        </w:rPr>
        <w:t xml:space="preserve"> </w:t>
      </w:r>
      <w:r w:rsidRPr="00C8651E">
        <w:rPr>
          <w:color w:val="auto"/>
        </w:rPr>
        <w:t xml:space="preserve">Other records as needed to facilitate an effective audit. </w:t>
      </w:r>
    </w:p>
    <w:p w:rsidR="00C943F4" w:rsidRDefault="00C943F4" w:rsidP="00C943F4">
      <w:pPr>
        <w:pStyle w:val="Default"/>
        <w:rPr>
          <w:color w:val="auto"/>
        </w:rPr>
      </w:pPr>
    </w:p>
    <w:p w:rsidR="00C943F4" w:rsidRPr="00C8651E" w:rsidRDefault="00C943F4" w:rsidP="00C943F4">
      <w:pPr>
        <w:pStyle w:val="Default"/>
        <w:rPr>
          <w:color w:val="auto"/>
        </w:rPr>
      </w:pPr>
      <w:r w:rsidRPr="00C8651E">
        <w:rPr>
          <w:color w:val="auto"/>
        </w:rPr>
        <w:t xml:space="preserve">The District must maintain </w:t>
      </w:r>
      <w:r w:rsidR="00260F40">
        <w:rPr>
          <w:color w:val="auto"/>
        </w:rPr>
        <w:t>migrant child</w:t>
      </w:r>
      <w:r w:rsidRPr="00C8651E">
        <w:rPr>
          <w:color w:val="auto"/>
        </w:rPr>
        <w:t xml:space="preserve"> records for three years after the date the District submits its last expenditure for the time period.  If any litigation, claim, negotiation, audit, or other action involving the </w:t>
      </w:r>
      <w:r w:rsidR="00260F40">
        <w:rPr>
          <w:color w:val="auto"/>
        </w:rPr>
        <w:t>migrant child</w:t>
      </w:r>
      <w:r w:rsidRPr="00C8651E">
        <w:rPr>
          <w:color w:val="auto"/>
        </w:rPr>
        <w:t xml:space="preserve"> records is taken, the records must be retained until the </w:t>
      </w:r>
      <w:r w:rsidRPr="00C8651E">
        <w:rPr>
          <w:color w:val="auto"/>
        </w:rPr>
        <w:lastRenderedPageBreak/>
        <w:t xml:space="preserve">completion of the action and resolution of all issues or until of the end of the regular three year period, whichever is later. </w:t>
      </w:r>
    </w:p>
    <w:p w:rsidR="00C943F4" w:rsidRPr="00C8651E" w:rsidRDefault="00C943F4" w:rsidP="00C943F4">
      <w:pPr>
        <w:pStyle w:val="Default"/>
        <w:rPr>
          <w:color w:val="auto"/>
        </w:rPr>
      </w:pPr>
      <w:r w:rsidRPr="00C8651E">
        <w:rPr>
          <w:color w:val="auto"/>
        </w:rPr>
        <w:t xml:space="preserve"> </w:t>
      </w:r>
    </w:p>
    <w:p w:rsidR="00C943F4" w:rsidRPr="00C8651E" w:rsidRDefault="00C943F4" w:rsidP="00C943F4">
      <w:pPr>
        <w:pStyle w:val="Default"/>
        <w:rPr>
          <w:color w:val="auto"/>
        </w:rPr>
      </w:pPr>
      <w:r w:rsidRPr="00C8651E">
        <w:rPr>
          <w:color w:val="auto"/>
        </w:rPr>
        <w:t xml:space="preserve">For an employee who has both </w:t>
      </w:r>
      <w:r w:rsidR="00260F40">
        <w:rPr>
          <w:color w:val="auto"/>
        </w:rPr>
        <w:t>migrant child</w:t>
      </w:r>
      <w:r w:rsidRPr="00C8651E">
        <w:rPr>
          <w:color w:val="auto"/>
        </w:rPr>
        <w:t xml:space="preserve"> and non-</w:t>
      </w:r>
      <w:r w:rsidR="00260F40">
        <w:rPr>
          <w:color w:val="auto"/>
        </w:rPr>
        <w:t>migrant child</w:t>
      </w:r>
      <w:r w:rsidRPr="00C8651E">
        <w:rPr>
          <w:color w:val="auto"/>
        </w:rPr>
        <w:t xml:space="preserve"> responsibilities, the District must maintain appropriate time distribution records.  Actual costs charged to each program must be based on the employee's time distribution records.  For instructional staff, including teachers and instructional aides, class schedules that specify the time that such staff members devote to </w:t>
      </w:r>
      <w:r w:rsidR="00260F40">
        <w:rPr>
          <w:color w:val="auto"/>
        </w:rPr>
        <w:t>migrant child</w:t>
      </w:r>
      <w:r w:rsidRPr="00C8651E">
        <w:rPr>
          <w:color w:val="auto"/>
        </w:rPr>
        <w:t xml:space="preserve"> activities may be used to demonstrate compliance with the requirement for time distribution records so long as there is corroborating evidence that the staff members actually carried out the schedules.  </w:t>
      </w:r>
    </w:p>
    <w:p w:rsidR="00C943F4" w:rsidRPr="00C8651E" w:rsidRDefault="00C943F4" w:rsidP="00C943F4">
      <w:pPr>
        <w:pStyle w:val="Default"/>
        <w:rPr>
          <w:color w:val="auto"/>
        </w:rPr>
      </w:pPr>
      <w:r w:rsidRPr="00C8651E">
        <w:rPr>
          <w:color w:val="auto"/>
        </w:rPr>
        <w:t xml:space="preserve"> </w:t>
      </w:r>
    </w:p>
    <w:p w:rsidR="00C943F4" w:rsidRPr="00C8651E" w:rsidRDefault="00C943F4" w:rsidP="00C943F4">
      <w:pPr>
        <w:pStyle w:val="Default"/>
        <w:rPr>
          <w:color w:val="auto"/>
        </w:rPr>
      </w:pPr>
      <w:r w:rsidRPr="00C8651E">
        <w:rPr>
          <w:color w:val="auto"/>
        </w:rPr>
        <w:t xml:space="preserve"> </w:t>
      </w:r>
    </w:p>
    <w:p w:rsidR="00C943F4" w:rsidRPr="00C8651E" w:rsidRDefault="00C943F4" w:rsidP="00C943F4">
      <w:pPr>
        <w:pStyle w:val="Default"/>
        <w:ind w:left="2880" w:hanging="2880"/>
        <w:rPr>
          <w:color w:val="auto"/>
        </w:rPr>
      </w:pPr>
      <w:r w:rsidRPr="00C8651E">
        <w:rPr>
          <w:color w:val="auto"/>
        </w:rPr>
        <w:t xml:space="preserve">Legal Reference: </w:t>
      </w:r>
      <w:r>
        <w:rPr>
          <w:color w:val="auto"/>
        </w:rPr>
        <w:t xml:space="preserve">       </w:t>
      </w:r>
      <w:r w:rsidR="00A3339F">
        <w:rPr>
          <w:color w:val="auto"/>
        </w:rPr>
        <w:t xml:space="preserve"> </w:t>
      </w:r>
      <w:r w:rsidR="00260F40">
        <w:rPr>
          <w:color w:val="auto"/>
        </w:rPr>
        <w:t>20 U</w:t>
      </w:r>
      <w:r w:rsidR="00A3339F">
        <w:rPr>
          <w:color w:val="auto"/>
        </w:rPr>
        <w:t>.</w:t>
      </w:r>
      <w:r w:rsidR="00260F40">
        <w:rPr>
          <w:color w:val="auto"/>
        </w:rPr>
        <w:t>S</w:t>
      </w:r>
      <w:r w:rsidR="00A3339F">
        <w:rPr>
          <w:color w:val="auto"/>
        </w:rPr>
        <w:t>.</w:t>
      </w:r>
      <w:r w:rsidR="00260F40">
        <w:rPr>
          <w:color w:val="auto"/>
        </w:rPr>
        <w:t>C</w:t>
      </w:r>
      <w:r w:rsidR="00A3339F">
        <w:rPr>
          <w:color w:val="auto"/>
        </w:rPr>
        <w:t>.</w:t>
      </w:r>
      <w:r w:rsidR="00260F40">
        <w:rPr>
          <w:color w:val="auto"/>
        </w:rPr>
        <w:t xml:space="preserve"> § 6391, </w:t>
      </w:r>
      <w:r w:rsidR="00A3339F">
        <w:rPr>
          <w:i/>
          <w:color w:val="auto"/>
        </w:rPr>
        <w:t>et seq</w:t>
      </w:r>
      <w:r w:rsidR="00260F40" w:rsidRPr="00A3339F">
        <w:rPr>
          <w:i/>
          <w:color w:val="auto"/>
        </w:rPr>
        <w:t>,</w:t>
      </w:r>
      <w:r w:rsidR="00A3339F">
        <w:rPr>
          <w:i/>
          <w:color w:val="auto"/>
        </w:rPr>
        <w:tab/>
      </w:r>
      <w:r w:rsidR="00260F40">
        <w:rPr>
          <w:color w:val="auto"/>
        </w:rPr>
        <w:t>Education of Migratory Children</w:t>
      </w:r>
      <w:r w:rsidRPr="00C8651E">
        <w:rPr>
          <w:color w:val="auto"/>
        </w:rPr>
        <w:t xml:space="preserve"> </w:t>
      </w:r>
    </w:p>
    <w:p w:rsidR="00C943F4" w:rsidRDefault="00C943F4" w:rsidP="00C943F4">
      <w:pPr>
        <w:pStyle w:val="Default"/>
        <w:ind w:left="2880" w:hanging="2880"/>
        <w:rPr>
          <w:color w:val="auto"/>
        </w:rPr>
      </w:pPr>
      <w:r w:rsidRPr="00C8651E">
        <w:rPr>
          <w:color w:val="auto"/>
        </w:rPr>
        <w:t xml:space="preserve">   </w:t>
      </w:r>
      <w:r>
        <w:rPr>
          <w:color w:val="auto"/>
        </w:rPr>
        <w:t xml:space="preserve">                                 </w:t>
      </w:r>
      <w:r w:rsidRPr="00C8651E">
        <w:rPr>
          <w:color w:val="auto"/>
        </w:rPr>
        <w:t>34 C</w:t>
      </w:r>
      <w:r w:rsidR="00A3339F">
        <w:rPr>
          <w:color w:val="auto"/>
        </w:rPr>
        <w:t>.</w:t>
      </w:r>
      <w:r w:rsidRPr="00C8651E">
        <w:rPr>
          <w:color w:val="auto"/>
        </w:rPr>
        <w:t>F</w:t>
      </w:r>
      <w:r w:rsidR="00A3339F">
        <w:rPr>
          <w:color w:val="auto"/>
        </w:rPr>
        <w:t>.</w:t>
      </w:r>
      <w:r w:rsidRPr="00C8651E">
        <w:rPr>
          <w:color w:val="auto"/>
        </w:rPr>
        <w:t>R</w:t>
      </w:r>
      <w:r w:rsidR="00A3339F">
        <w:rPr>
          <w:color w:val="auto"/>
        </w:rPr>
        <w:t>. Subpart C</w:t>
      </w:r>
      <w:r w:rsidR="00A3339F">
        <w:rPr>
          <w:color w:val="auto"/>
        </w:rPr>
        <w:tab/>
      </w:r>
      <w:r w:rsidR="00A3339F">
        <w:rPr>
          <w:color w:val="auto"/>
        </w:rPr>
        <w:tab/>
      </w:r>
      <w:r w:rsidR="00260F40">
        <w:rPr>
          <w:color w:val="auto"/>
        </w:rPr>
        <w:t>Migrant Education Programs</w:t>
      </w:r>
    </w:p>
    <w:p w:rsidR="00A3339F" w:rsidRDefault="00A3339F" w:rsidP="00A3339F">
      <w:pPr>
        <w:pStyle w:val="Default"/>
        <w:ind w:left="2160" w:hanging="2160"/>
        <w:rPr>
          <w:color w:val="auto"/>
        </w:rPr>
      </w:pPr>
      <w:r>
        <w:rPr>
          <w:color w:val="auto"/>
        </w:rPr>
        <w:tab/>
        <w:t>34 C.F.R. §§ 76.730-31</w:t>
      </w:r>
      <w:r>
        <w:rPr>
          <w:color w:val="auto"/>
        </w:rPr>
        <w:tab/>
        <w:t>Records (EDGAR)</w:t>
      </w:r>
    </w:p>
    <w:p w:rsidR="00A3339F" w:rsidRDefault="00A3339F" w:rsidP="00A3339F">
      <w:pPr>
        <w:pStyle w:val="Default"/>
        <w:ind w:left="2160" w:hanging="2160"/>
        <w:rPr>
          <w:color w:val="auto"/>
        </w:rPr>
      </w:pPr>
      <w:r>
        <w:rPr>
          <w:color w:val="auto"/>
        </w:rPr>
        <w:tab/>
        <w:t>34 C.F.R. § 200.333</w:t>
      </w:r>
      <w:r>
        <w:rPr>
          <w:color w:val="auto"/>
        </w:rPr>
        <w:tab/>
      </w:r>
      <w:r>
        <w:rPr>
          <w:color w:val="auto"/>
        </w:rPr>
        <w:tab/>
        <w:t>Retention and Access Requirements for</w:t>
      </w:r>
    </w:p>
    <w:p w:rsidR="00A3339F" w:rsidRPr="00260F40" w:rsidRDefault="00A3339F" w:rsidP="00A3339F">
      <w:pPr>
        <w:pStyle w:val="Default"/>
        <w:ind w:left="4320" w:firstLine="720"/>
        <w:rPr>
          <w:color w:val="auto"/>
        </w:rPr>
      </w:pPr>
      <w:r>
        <w:rPr>
          <w:color w:val="auto"/>
        </w:rPr>
        <w:t>Records (EDGAR)</w:t>
      </w:r>
    </w:p>
    <w:p w:rsidR="00C943F4" w:rsidRDefault="00C943F4" w:rsidP="00C943F4">
      <w:pPr>
        <w:pStyle w:val="Default"/>
        <w:rPr>
          <w:color w:val="auto"/>
        </w:rPr>
      </w:pPr>
      <w:r w:rsidRPr="00C8651E">
        <w:rPr>
          <w:color w:val="auto"/>
        </w:rPr>
        <w:t xml:space="preserve"> </w:t>
      </w:r>
    </w:p>
    <w:p w:rsidR="00A3339F" w:rsidRPr="00C8651E" w:rsidRDefault="00A3339F" w:rsidP="00C943F4">
      <w:pPr>
        <w:pStyle w:val="Default"/>
        <w:rPr>
          <w:color w:val="auto"/>
        </w:rPr>
      </w:pPr>
    </w:p>
    <w:p w:rsidR="00C943F4" w:rsidRPr="00C8651E" w:rsidRDefault="00C943F4" w:rsidP="00C943F4">
      <w:pPr>
        <w:pStyle w:val="Default"/>
        <w:rPr>
          <w:color w:val="auto"/>
        </w:rPr>
      </w:pPr>
      <w:r w:rsidRPr="00C8651E">
        <w:rPr>
          <w:color w:val="auto"/>
          <w:u w:val="single"/>
        </w:rPr>
        <w:t xml:space="preserve">Policy History: </w:t>
      </w:r>
    </w:p>
    <w:p w:rsidR="00C943F4" w:rsidRPr="00C8651E" w:rsidRDefault="00C943F4" w:rsidP="00C943F4">
      <w:pPr>
        <w:pStyle w:val="Default"/>
        <w:rPr>
          <w:color w:val="auto"/>
        </w:rPr>
      </w:pPr>
      <w:r w:rsidRPr="00C8651E">
        <w:rPr>
          <w:color w:val="auto"/>
        </w:rPr>
        <w:t xml:space="preserve">Adopted on: </w:t>
      </w:r>
      <w:r>
        <w:rPr>
          <w:color w:val="auto"/>
        </w:rPr>
        <w:t xml:space="preserve"> December 8, 2014</w:t>
      </w:r>
    </w:p>
    <w:p w:rsidR="002E2681" w:rsidRDefault="00260F40" w:rsidP="00A3339F">
      <w:pPr>
        <w:pStyle w:val="Default"/>
        <w:rPr>
          <w:color w:val="auto"/>
        </w:rPr>
      </w:pPr>
      <w:r>
        <w:rPr>
          <w:color w:val="auto"/>
        </w:rPr>
        <w:t>Rev</w:t>
      </w:r>
      <w:r w:rsidR="00A3339F">
        <w:rPr>
          <w:color w:val="auto"/>
        </w:rPr>
        <w:t>ised on: July 13, 2020</w:t>
      </w:r>
    </w:p>
    <w:p w:rsidR="00A3339F" w:rsidRPr="00A3339F" w:rsidRDefault="00A3339F" w:rsidP="00A3339F">
      <w:pPr>
        <w:pStyle w:val="Default"/>
        <w:rPr>
          <w:color w:val="auto"/>
        </w:rPr>
      </w:pPr>
      <w:r>
        <w:rPr>
          <w:color w:val="auto"/>
        </w:rPr>
        <w:t>Reviewed on:</w:t>
      </w:r>
      <w:bookmarkStart w:id="0" w:name="_GoBack"/>
      <w:bookmarkEnd w:id="0"/>
    </w:p>
    <w:sectPr w:rsidR="00A3339F" w:rsidRPr="00A3339F" w:rsidSect="002E26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8F" w:rsidRDefault="00BE038F" w:rsidP="00C943F4">
      <w:pPr>
        <w:spacing w:after="0" w:line="240" w:lineRule="auto"/>
      </w:pPr>
      <w:r>
        <w:separator/>
      </w:r>
    </w:p>
  </w:endnote>
  <w:endnote w:type="continuationSeparator" w:id="0">
    <w:p w:rsidR="00BE038F" w:rsidRDefault="00BE038F" w:rsidP="00C9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F4" w:rsidRDefault="00C943F4">
    <w:pPr>
      <w:pStyle w:val="Footer"/>
    </w:pPr>
    <w:r>
      <w:tab/>
      <w:t>2390-</w:t>
    </w:r>
    <w:r w:rsidR="00BE038F">
      <w:fldChar w:fldCharType="begin"/>
    </w:r>
    <w:r w:rsidR="00BE038F">
      <w:instrText xml:space="preserve"> PAGE   \* MERGEFORMAT </w:instrText>
    </w:r>
    <w:r w:rsidR="00BE038F">
      <w:fldChar w:fldCharType="separate"/>
    </w:r>
    <w:r w:rsidR="00A3339F">
      <w:rPr>
        <w:noProof/>
      </w:rPr>
      <w:t>1</w:t>
    </w:r>
    <w:r w:rsidR="00BE038F">
      <w:rPr>
        <w:noProof/>
      </w:rPr>
      <w:fldChar w:fldCharType="end"/>
    </w:r>
  </w:p>
  <w:p w:rsidR="00C943F4" w:rsidRDefault="00C943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8F" w:rsidRDefault="00BE038F" w:rsidP="00C943F4">
      <w:pPr>
        <w:spacing w:after="0" w:line="240" w:lineRule="auto"/>
      </w:pPr>
      <w:r>
        <w:separator/>
      </w:r>
    </w:p>
  </w:footnote>
  <w:footnote w:type="continuationSeparator" w:id="0">
    <w:p w:rsidR="00BE038F" w:rsidRDefault="00BE038F" w:rsidP="00C94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1D53"/>
    <w:multiLevelType w:val="hybridMultilevel"/>
    <w:tmpl w:val="84AAE2A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4852C08"/>
    <w:multiLevelType w:val="hybridMultilevel"/>
    <w:tmpl w:val="A6523F5C"/>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294046AA"/>
    <w:multiLevelType w:val="hybridMultilevel"/>
    <w:tmpl w:val="71EE3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717DB"/>
    <w:multiLevelType w:val="hybridMultilevel"/>
    <w:tmpl w:val="CF8CBAF0"/>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15:restartNumberingAfterBreak="0">
    <w:nsid w:val="5A3B55EC"/>
    <w:multiLevelType w:val="hybridMultilevel"/>
    <w:tmpl w:val="0F9C3778"/>
    <w:lvl w:ilvl="0" w:tplc="0409000F">
      <w:start w:val="1"/>
      <w:numFmt w:val="decimal"/>
      <w:lvlText w:val="%1."/>
      <w:lvlJc w:val="lef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5" w15:restartNumberingAfterBreak="0">
    <w:nsid w:val="624B2C72"/>
    <w:multiLevelType w:val="hybridMultilevel"/>
    <w:tmpl w:val="7C544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43F4"/>
    <w:rsid w:val="00042A6A"/>
    <w:rsid w:val="000454BB"/>
    <w:rsid w:val="000C53A6"/>
    <w:rsid w:val="000E689E"/>
    <w:rsid w:val="00134307"/>
    <w:rsid w:val="001A3CF1"/>
    <w:rsid w:val="00203E8C"/>
    <w:rsid w:val="00260F40"/>
    <w:rsid w:val="002B17C2"/>
    <w:rsid w:val="002E2681"/>
    <w:rsid w:val="003006B2"/>
    <w:rsid w:val="003046CB"/>
    <w:rsid w:val="0031554E"/>
    <w:rsid w:val="00337E5B"/>
    <w:rsid w:val="00370A3D"/>
    <w:rsid w:val="004254D1"/>
    <w:rsid w:val="004C49A6"/>
    <w:rsid w:val="004D2EFA"/>
    <w:rsid w:val="00525B31"/>
    <w:rsid w:val="005408FB"/>
    <w:rsid w:val="005620BC"/>
    <w:rsid w:val="005B6CAC"/>
    <w:rsid w:val="0063564B"/>
    <w:rsid w:val="00767364"/>
    <w:rsid w:val="00770B1B"/>
    <w:rsid w:val="00786721"/>
    <w:rsid w:val="007D441D"/>
    <w:rsid w:val="00802F71"/>
    <w:rsid w:val="0082488D"/>
    <w:rsid w:val="0084277D"/>
    <w:rsid w:val="00851431"/>
    <w:rsid w:val="008C3793"/>
    <w:rsid w:val="009350B1"/>
    <w:rsid w:val="0097523D"/>
    <w:rsid w:val="009D3A07"/>
    <w:rsid w:val="00A3339F"/>
    <w:rsid w:val="00A41A54"/>
    <w:rsid w:val="00AD2134"/>
    <w:rsid w:val="00B44EC2"/>
    <w:rsid w:val="00B6352C"/>
    <w:rsid w:val="00B73877"/>
    <w:rsid w:val="00B76A7D"/>
    <w:rsid w:val="00BD505A"/>
    <w:rsid w:val="00BE02CB"/>
    <w:rsid w:val="00BE038F"/>
    <w:rsid w:val="00C3487A"/>
    <w:rsid w:val="00C53832"/>
    <w:rsid w:val="00C943F4"/>
    <w:rsid w:val="00CE1B84"/>
    <w:rsid w:val="00CE402C"/>
    <w:rsid w:val="00D018DD"/>
    <w:rsid w:val="00D12188"/>
    <w:rsid w:val="00D83EB2"/>
    <w:rsid w:val="00DC2AE3"/>
    <w:rsid w:val="00E010B0"/>
    <w:rsid w:val="00E05052"/>
    <w:rsid w:val="00E51A27"/>
    <w:rsid w:val="00E64435"/>
    <w:rsid w:val="00F17526"/>
    <w:rsid w:val="00F70286"/>
    <w:rsid w:val="00F773CE"/>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51BB"/>
  <w15:docId w15:val="{EA5BE947-1EF9-4E1F-8486-B0599F9D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3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C943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43F4"/>
  </w:style>
  <w:style w:type="paragraph" w:styleId="Footer">
    <w:name w:val="footer"/>
    <w:basedOn w:val="Normal"/>
    <w:link w:val="FooterChar"/>
    <w:uiPriority w:val="99"/>
    <w:unhideWhenUsed/>
    <w:rsid w:val="00C94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F4"/>
  </w:style>
  <w:style w:type="paragraph" w:styleId="BalloonText">
    <w:name w:val="Balloon Text"/>
    <w:basedOn w:val="Normal"/>
    <w:link w:val="BalloonTextChar"/>
    <w:uiPriority w:val="99"/>
    <w:semiHidden/>
    <w:unhideWhenUsed/>
    <w:rsid w:val="00C9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5</cp:revision>
  <cp:lastPrinted>2020-07-27T21:59:00Z</cp:lastPrinted>
  <dcterms:created xsi:type="dcterms:W3CDTF">2015-03-01T05:01:00Z</dcterms:created>
  <dcterms:modified xsi:type="dcterms:W3CDTF">2020-07-27T22:00:00Z</dcterms:modified>
</cp:coreProperties>
</file>