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57BCF" w:rsidRDefault="004403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sz w:val="24"/>
          <w:szCs w:val="24"/>
        </w:rPr>
      </w:pPr>
      <w:bookmarkStart w:id="0" w:name="_GoBack"/>
      <w:bookmarkEnd w:id="0"/>
      <w:r>
        <w:rPr>
          <w:b/>
          <w:color w:val="000000"/>
          <w:sz w:val="24"/>
          <w:szCs w:val="24"/>
        </w:rPr>
        <w:t>Mackay School District No. 182</w:t>
      </w:r>
    </w:p>
    <w:p w14:paraId="00000002"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3" w14:textId="77777777" w:rsidR="00857BCF" w:rsidRDefault="00440393">
      <w:pPr>
        <w:tabs>
          <w:tab w:val="right" w:pos="9360"/>
        </w:tabs>
        <w:rPr>
          <w:color w:val="000000"/>
          <w:sz w:val="24"/>
          <w:szCs w:val="24"/>
        </w:rPr>
      </w:pPr>
      <w:r>
        <w:rPr>
          <w:b/>
          <w:color w:val="000000"/>
          <w:sz w:val="24"/>
          <w:szCs w:val="24"/>
        </w:rPr>
        <w:t>STUDENTS</w:t>
      </w:r>
      <w:r>
        <w:rPr>
          <w:b/>
          <w:color w:val="000000"/>
          <w:sz w:val="24"/>
          <w:szCs w:val="24"/>
        </w:rPr>
        <w:tab/>
        <w:t>3440</w:t>
      </w:r>
    </w:p>
    <w:p w14:paraId="00000004"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5" w14:textId="77777777" w:rsidR="00857BCF" w:rsidRDefault="00440393">
      <w:pPr>
        <w:pStyle w:val="Heading1"/>
      </w:pPr>
      <w:r>
        <w:t>Student Fees, Fines, and Charges/Return of Property</w:t>
      </w:r>
    </w:p>
    <w:p w14:paraId="00000006"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7"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The District shall charge no fee for any course for which academic credit is awarded.</w:t>
      </w:r>
    </w:p>
    <w:p w14:paraId="00000008"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9"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A student may be charged a reasonable fee for any non-credit course or non-curricular activity such as an extra-curricular activity, student-activity, or membership in a voluntary club or association.  The Board may waive the fee in cases of financial hard</w:t>
      </w:r>
      <w:r>
        <w:rPr>
          <w:color w:val="000000"/>
          <w:sz w:val="24"/>
          <w:szCs w:val="24"/>
        </w:rPr>
        <w:t>ship.</w:t>
      </w:r>
    </w:p>
    <w:p w14:paraId="0000000A"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B"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 xml:space="preserve">The Board delegates authority to the Superintendent to establish appropriate fees and procedures governing the collection of fees and to make annual reports to the Board regarding fee schedules.  </w:t>
      </w:r>
    </w:p>
    <w:p w14:paraId="0000000C"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D"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Additional fees may be charged for “enhanced progra</w:t>
      </w:r>
      <w:r>
        <w:rPr>
          <w:color w:val="000000"/>
          <w:sz w:val="24"/>
          <w:szCs w:val="24"/>
        </w:rPr>
        <w:t>mming and materials” which are voluntary enrichments to the curriculum beyond what is necessary to meet the learning expectations for a particular grade or course (i.e. students may wish to use a superior product or consumable than that provided by the sch</w:t>
      </w:r>
      <w:r>
        <w:rPr>
          <w:color w:val="000000"/>
          <w:sz w:val="24"/>
          <w:szCs w:val="24"/>
        </w:rPr>
        <w:t>ool, in which case they may be asked to pay the additional cost for the upgrade). This includes online enrollment when solely a matter of preference.</w:t>
      </w:r>
    </w:p>
    <w:p w14:paraId="0000000E"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0F"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The District may also offer for-fee educational programs which are to be solely paid for by the Empowerin</w:t>
      </w:r>
      <w:r>
        <w:rPr>
          <w:color w:val="000000"/>
          <w:sz w:val="24"/>
          <w:szCs w:val="24"/>
        </w:rPr>
        <w:t>g Parents Grant Program and in no instance subject the parent/guardian/student to a fee or cost for the program. Such programs shall not be for credit and shall not be required to obtain credit in any District course. Payment of such fees on behalf of a st</w:t>
      </w:r>
      <w:r>
        <w:rPr>
          <w:color w:val="000000"/>
          <w:sz w:val="24"/>
          <w:szCs w:val="24"/>
        </w:rPr>
        <w:t>udent through the grant distribution platform shall not cause the student to be counted for purposes of calculating public school enrollment.</w:t>
      </w:r>
    </w:p>
    <w:p w14:paraId="00000010"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11"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A student shall be responsible for the cost of replacing materials or property lost or damaged due to negligence. If school property in a student’s possession is lost, broken, or otherwise damaged, the student may be charged the lesser of the fair market v</w:t>
      </w:r>
      <w:r>
        <w:rPr>
          <w:color w:val="000000"/>
          <w:sz w:val="24"/>
          <w:szCs w:val="24"/>
        </w:rPr>
        <w:t>alue of the item at the time or the cost of repair.</w:t>
      </w:r>
    </w:p>
    <w:p w14:paraId="00000012"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13"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The District may require, as a condition of graduation, issuance of a diploma or certificate, or issuance of a transcript, that all lawful indebtedness incurred by a student be satisfied, or that all boo</w:t>
      </w:r>
      <w:r>
        <w:rPr>
          <w:color w:val="000000"/>
          <w:sz w:val="24"/>
          <w:szCs w:val="24"/>
        </w:rPr>
        <w:t>ks or other instructional material, uniforms, athletic equipment, advances on loans, or other personal property of the District be returned.</w:t>
      </w:r>
    </w:p>
    <w:p w14:paraId="00000014"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15"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14:paraId="00000016" w14:textId="77777777" w:rsidR="00857BCF" w:rsidRDefault="00440393">
      <w:pPr>
        <w:tabs>
          <w:tab w:val="left" w:pos="1800"/>
          <w:tab w:val="left" w:pos="3600"/>
        </w:tabs>
        <w:ind w:left="3600" w:hanging="3600"/>
        <w:rPr>
          <w:color w:val="000000"/>
          <w:sz w:val="24"/>
          <w:szCs w:val="24"/>
        </w:rPr>
      </w:pPr>
      <w:r>
        <w:rPr>
          <w:color w:val="000000"/>
          <w:sz w:val="24"/>
          <w:szCs w:val="24"/>
        </w:rPr>
        <w:t>Legal reference:</w:t>
      </w:r>
      <w:r>
        <w:rPr>
          <w:color w:val="000000"/>
          <w:sz w:val="24"/>
          <w:szCs w:val="24"/>
        </w:rPr>
        <w:tab/>
      </w:r>
    </w:p>
    <w:p w14:paraId="00000017" w14:textId="77777777" w:rsidR="00857BCF" w:rsidRDefault="00440393">
      <w:pPr>
        <w:tabs>
          <w:tab w:val="left" w:pos="1800"/>
          <w:tab w:val="left" w:pos="3600"/>
        </w:tabs>
        <w:ind w:left="3600" w:hanging="3600"/>
        <w:rPr>
          <w:color w:val="000000"/>
          <w:sz w:val="24"/>
          <w:szCs w:val="24"/>
        </w:rPr>
      </w:pPr>
      <w:r>
        <w:rPr>
          <w:color w:val="000000"/>
          <w:sz w:val="24"/>
          <w:szCs w:val="24"/>
        </w:rPr>
        <w:t>I.C. § 33-603</w:t>
      </w:r>
      <w:r>
        <w:rPr>
          <w:color w:val="000000"/>
          <w:sz w:val="24"/>
          <w:szCs w:val="24"/>
        </w:rPr>
        <w:tab/>
        <w:t>Payment of Fees or Returning of Property</w:t>
      </w:r>
    </w:p>
    <w:p w14:paraId="00000018" w14:textId="77777777" w:rsidR="00857BCF" w:rsidRDefault="00440393">
      <w:pPr>
        <w:tabs>
          <w:tab w:val="left" w:pos="1800"/>
          <w:tab w:val="left" w:pos="3600"/>
        </w:tabs>
        <w:ind w:left="3600" w:hanging="3600"/>
        <w:rPr>
          <w:sz w:val="24"/>
          <w:szCs w:val="24"/>
        </w:rPr>
      </w:pPr>
      <w:r>
        <w:rPr>
          <w:color w:val="000000"/>
          <w:sz w:val="24"/>
          <w:szCs w:val="24"/>
        </w:rPr>
        <w:t xml:space="preserve">I.C. </w:t>
      </w:r>
      <w:r>
        <w:rPr>
          <w:sz w:val="24"/>
          <w:szCs w:val="24"/>
        </w:rPr>
        <w:t>§ 33-1034</w:t>
      </w:r>
      <w:r>
        <w:rPr>
          <w:sz w:val="24"/>
          <w:szCs w:val="24"/>
        </w:rPr>
        <w:tab/>
        <w:t>Definition</w:t>
      </w:r>
    </w:p>
    <w:p w14:paraId="00000019" w14:textId="77777777" w:rsidR="00857BCF" w:rsidRDefault="00857BCF">
      <w:pPr>
        <w:tabs>
          <w:tab w:val="left" w:pos="1800"/>
          <w:tab w:val="left" w:pos="3600"/>
        </w:tabs>
        <w:ind w:left="3600" w:hanging="3600"/>
        <w:rPr>
          <w:color w:val="000000"/>
          <w:sz w:val="24"/>
          <w:szCs w:val="24"/>
        </w:rPr>
      </w:pPr>
    </w:p>
    <w:p w14:paraId="0000001A" w14:textId="77777777" w:rsidR="00857BCF" w:rsidRDefault="00440393">
      <w:pPr>
        <w:tabs>
          <w:tab w:val="left" w:pos="1800"/>
          <w:tab w:val="left" w:pos="3600"/>
        </w:tabs>
        <w:ind w:left="3600" w:hanging="3600"/>
        <w:rPr>
          <w:color w:val="000000"/>
          <w:sz w:val="24"/>
          <w:szCs w:val="24"/>
        </w:rPr>
      </w:pPr>
      <w:r>
        <w:rPr>
          <w:color w:val="000000"/>
          <w:sz w:val="24"/>
          <w:szCs w:val="24"/>
        </w:rPr>
        <w:t>Cross Referen</w:t>
      </w:r>
      <w:r>
        <w:rPr>
          <w:color w:val="000000"/>
          <w:sz w:val="24"/>
          <w:szCs w:val="24"/>
        </w:rPr>
        <w:t>ce:</w:t>
      </w:r>
    </w:p>
    <w:p w14:paraId="0000001B" w14:textId="77777777" w:rsidR="00857BCF" w:rsidRDefault="00440393">
      <w:pPr>
        <w:tabs>
          <w:tab w:val="left" w:pos="1800"/>
          <w:tab w:val="left" w:pos="3600"/>
        </w:tabs>
        <w:ind w:left="3600" w:hanging="3600"/>
        <w:rPr>
          <w:color w:val="000000"/>
          <w:sz w:val="24"/>
          <w:szCs w:val="24"/>
        </w:rPr>
      </w:pPr>
      <w:r>
        <w:rPr>
          <w:color w:val="000000"/>
          <w:sz w:val="24"/>
          <w:szCs w:val="24"/>
        </w:rPr>
        <w:t>Policy 2325</w:t>
      </w:r>
      <w:r>
        <w:rPr>
          <w:color w:val="000000"/>
          <w:sz w:val="24"/>
          <w:szCs w:val="24"/>
        </w:rPr>
        <w:tab/>
        <w:t>Driver Training Education</w:t>
      </w:r>
    </w:p>
    <w:p w14:paraId="0000001C" w14:textId="77777777" w:rsidR="00857BCF" w:rsidRDefault="00440393">
      <w:pPr>
        <w:tabs>
          <w:tab w:val="left" w:pos="1800"/>
          <w:tab w:val="left" w:pos="3600"/>
        </w:tabs>
        <w:ind w:left="3600" w:hanging="3600"/>
        <w:rPr>
          <w:color w:val="000000"/>
          <w:sz w:val="24"/>
          <w:szCs w:val="24"/>
        </w:rPr>
      </w:pPr>
      <w:r>
        <w:rPr>
          <w:color w:val="000000"/>
          <w:sz w:val="24"/>
          <w:szCs w:val="24"/>
        </w:rPr>
        <w:t>Policy 2470</w:t>
      </w:r>
      <w:r>
        <w:rPr>
          <w:color w:val="000000"/>
          <w:sz w:val="24"/>
          <w:szCs w:val="24"/>
        </w:rPr>
        <w:tab/>
        <w:t>Self-Directed Learners</w:t>
      </w:r>
    </w:p>
    <w:p w14:paraId="0000001D" w14:textId="77777777" w:rsidR="00857BCF" w:rsidRDefault="00440393">
      <w:pPr>
        <w:tabs>
          <w:tab w:val="left" w:pos="1800"/>
          <w:tab w:val="left" w:pos="3600"/>
        </w:tabs>
        <w:ind w:left="3600" w:hanging="3600"/>
        <w:rPr>
          <w:color w:val="000000"/>
          <w:sz w:val="24"/>
          <w:szCs w:val="24"/>
        </w:rPr>
      </w:pPr>
      <w:r>
        <w:rPr>
          <w:color w:val="000000"/>
          <w:sz w:val="24"/>
          <w:szCs w:val="24"/>
        </w:rPr>
        <w:lastRenderedPageBreak/>
        <w:t>Policy 7500</w:t>
      </w:r>
      <w:r>
        <w:rPr>
          <w:color w:val="000000"/>
          <w:sz w:val="24"/>
          <w:szCs w:val="24"/>
        </w:rPr>
        <w:tab/>
        <w:t>New Fees or Increase of Fees</w:t>
      </w:r>
    </w:p>
    <w:p w14:paraId="0000001E" w14:textId="77777777" w:rsidR="00857BCF" w:rsidRDefault="00857BCF">
      <w:pPr>
        <w:tabs>
          <w:tab w:val="left" w:pos="1800"/>
          <w:tab w:val="left" w:pos="3600"/>
        </w:tabs>
        <w:ind w:left="3600" w:hanging="3600"/>
        <w:rPr>
          <w:color w:val="000000"/>
          <w:sz w:val="24"/>
          <w:szCs w:val="24"/>
        </w:rPr>
      </w:pPr>
    </w:p>
    <w:p w14:paraId="0000001F" w14:textId="77777777" w:rsidR="00857BCF" w:rsidRDefault="00857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u w:val="single"/>
        </w:rPr>
      </w:pPr>
    </w:p>
    <w:p w14:paraId="00000020"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u w:val="single"/>
        </w:rPr>
        <w:t>Policy History:</w:t>
      </w:r>
    </w:p>
    <w:p w14:paraId="00000021"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Adopted on: April 10, 2012</w:t>
      </w:r>
    </w:p>
    <w:p w14:paraId="00000022"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Revised on: March 14, 2016</w:t>
      </w:r>
    </w:p>
    <w:p w14:paraId="00000023"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Revised on: May 9, 2022</w:t>
      </w:r>
    </w:p>
    <w:p w14:paraId="00000024" w14:textId="77777777" w:rsidR="00857BCF" w:rsidRDefault="004403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 xml:space="preserve">Revised on: October </w:t>
      </w:r>
      <w:r>
        <w:rPr>
          <w:sz w:val="24"/>
          <w:szCs w:val="24"/>
        </w:rPr>
        <w:t>28</w:t>
      </w:r>
      <w:r>
        <w:rPr>
          <w:color w:val="000000"/>
          <w:sz w:val="24"/>
          <w:szCs w:val="24"/>
        </w:rPr>
        <w:t>, 2024</w:t>
      </w:r>
    </w:p>
    <w:sectPr w:rsidR="00857BCF">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FBFF7" w14:textId="77777777" w:rsidR="00440393" w:rsidRDefault="00440393">
      <w:r>
        <w:separator/>
      </w:r>
    </w:p>
  </w:endnote>
  <w:endnote w:type="continuationSeparator" w:id="0">
    <w:p w14:paraId="49774904" w14:textId="77777777" w:rsidR="00440393" w:rsidRDefault="0044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720AC76A" w:rsidR="00857BCF" w:rsidRDefault="00440393">
    <w:pPr>
      <w:pBdr>
        <w:top w:val="nil"/>
        <w:left w:val="nil"/>
        <w:bottom w:val="nil"/>
        <w:right w:val="nil"/>
        <w:between w:val="nil"/>
      </w:pBdr>
      <w:tabs>
        <w:tab w:val="center" w:pos="4320"/>
        <w:tab w:val="right" w:pos="8640"/>
      </w:tabs>
      <w:rPr>
        <w:color w:val="000000"/>
      </w:rPr>
    </w:pPr>
    <w:r>
      <w:rPr>
        <w:color w:val="000000"/>
      </w:rPr>
      <w:tab/>
      <w:t>3440-</w:t>
    </w:r>
    <w:r>
      <w:rPr>
        <w:color w:val="000000"/>
      </w:rPr>
      <w:fldChar w:fldCharType="begin"/>
    </w:r>
    <w:r>
      <w:rPr>
        <w:color w:val="000000"/>
      </w:rPr>
      <w:instrText>PAGE</w:instrText>
    </w:r>
    <w:r w:rsidR="00D84AA7">
      <w:rPr>
        <w:color w:val="000000"/>
      </w:rPr>
      <w:fldChar w:fldCharType="separate"/>
    </w:r>
    <w:r w:rsidR="00D84AA7">
      <w:rPr>
        <w:noProof/>
        <w:color w:val="000000"/>
      </w:rPr>
      <w:t>2</w:t>
    </w:r>
    <w:r>
      <w:rPr>
        <w:color w:val="000000"/>
      </w:rPr>
      <w:fldChar w:fldCharType="end"/>
    </w:r>
    <w:r>
      <w:rPr>
        <w:color w:val="000000"/>
      </w:rPr>
      <w:tab/>
      <w:t>(ISBA 12/15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3F704" w14:textId="77777777" w:rsidR="00440393" w:rsidRDefault="00440393">
      <w:r>
        <w:separator/>
      </w:r>
    </w:p>
  </w:footnote>
  <w:footnote w:type="continuationSeparator" w:id="0">
    <w:p w14:paraId="7233963F" w14:textId="77777777" w:rsidR="00440393" w:rsidRDefault="0044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CF"/>
    <w:rsid w:val="00440393"/>
    <w:rsid w:val="00857BCF"/>
    <w:rsid w:val="00D8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35A62-8695-4DEC-87CF-C7A6E7D8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McAffee</dc:creator>
  <cp:lastModifiedBy>Jodi Wasylow</cp:lastModifiedBy>
  <cp:revision>2</cp:revision>
  <dcterms:created xsi:type="dcterms:W3CDTF">2024-11-11T20:38:00Z</dcterms:created>
  <dcterms:modified xsi:type="dcterms:W3CDTF">2024-11-11T20:38:00Z</dcterms:modified>
</cp:coreProperties>
</file>